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6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10248"/>
      </w:tblGrid>
      <w:tr w:rsidR="009C5FD6" w:rsidRPr="0037252E" w14:paraId="121C0023" w14:textId="77777777" w:rsidTr="00E66566">
        <w:trPr>
          <w:trHeight w:val="461"/>
        </w:trPr>
        <w:tc>
          <w:tcPr>
            <w:tcW w:w="619" w:type="dxa"/>
            <w:shd w:val="clear" w:color="auto" w:fill="BFBFBF"/>
          </w:tcPr>
          <w:p w14:paraId="5C010745" w14:textId="77777777" w:rsidR="009C5FD6" w:rsidRPr="0037252E" w:rsidRDefault="009C5FD6" w:rsidP="00E02E4A">
            <w:pPr>
              <w:jc w:val="center"/>
              <w:rPr>
                <w:b/>
                <w:sz w:val="22"/>
                <w:szCs w:val="22"/>
              </w:rPr>
            </w:pPr>
          </w:p>
          <w:p w14:paraId="2E80D47C" w14:textId="77777777" w:rsidR="009C5FD6" w:rsidRPr="0037252E" w:rsidRDefault="009C5FD6" w:rsidP="00E02E4A">
            <w:pPr>
              <w:jc w:val="center"/>
              <w:rPr>
                <w:b/>
                <w:sz w:val="22"/>
                <w:szCs w:val="22"/>
              </w:rPr>
            </w:pPr>
            <w:r w:rsidRPr="0037252E">
              <w:rPr>
                <w:b/>
                <w:sz w:val="22"/>
                <w:szCs w:val="22"/>
              </w:rPr>
              <w:t xml:space="preserve">A. </w:t>
            </w:r>
          </w:p>
        </w:tc>
        <w:tc>
          <w:tcPr>
            <w:tcW w:w="10248" w:type="dxa"/>
            <w:shd w:val="clear" w:color="auto" w:fill="BFBFBF"/>
          </w:tcPr>
          <w:p w14:paraId="1F645A89" w14:textId="77777777" w:rsidR="009C5FD6" w:rsidRPr="0037252E" w:rsidRDefault="009C5FD6" w:rsidP="00E02E4A">
            <w:pPr>
              <w:rPr>
                <w:b/>
                <w:sz w:val="22"/>
                <w:szCs w:val="22"/>
              </w:rPr>
            </w:pPr>
          </w:p>
          <w:p w14:paraId="4B7CE9A3" w14:textId="0F466395" w:rsidR="009C5FD6" w:rsidRPr="0037252E" w:rsidRDefault="004510D2" w:rsidP="004510D2">
            <w:pPr>
              <w:rPr>
                <w:bCs/>
                <w:sz w:val="22"/>
                <w:szCs w:val="22"/>
              </w:rPr>
            </w:pPr>
            <w:r>
              <w:rPr>
                <w:b/>
                <w:sz w:val="22"/>
                <w:szCs w:val="22"/>
              </w:rPr>
              <w:t xml:space="preserve">Información de la PHA. AZ025v2                                                                          </w:t>
            </w:r>
            <w:r w:rsidR="00706F45" w:rsidRPr="00706F45">
              <w:rPr>
                <w:b/>
                <w:sz w:val="22"/>
                <w:szCs w:val="22"/>
              </w:rPr>
              <w:t>BORRADOR</w:t>
            </w:r>
          </w:p>
        </w:tc>
      </w:tr>
      <w:tr w:rsidR="00144B75" w:rsidRPr="0037252E" w14:paraId="45F62D00" w14:textId="77777777" w:rsidTr="00E66566">
        <w:trPr>
          <w:trHeight w:val="1520"/>
        </w:trPr>
        <w:tc>
          <w:tcPr>
            <w:tcW w:w="619" w:type="dxa"/>
          </w:tcPr>
          <w:p w14:paraId="573E0419" w14:textId="77777777" w:rsidR="00144B75" w:rsidRPr="0037252E" w:rsidRDefault="00144B75" w:rsidP="00E02E4A">
            <w:pPr>
              <w:jc w:val="center"/>
              <w:rPr>
                <w:b/>
                <w:sz w:val="22"/>
                <w:szCs w:val="22"/>
              </w:rPr>
            </w:pPr>
          </w:p>
          <w:p w14:paraId="01301491" w14:textId="77777777" w:rsidR="00144B75" w:rsidRPr="0037252E" w:rsidRDefault="00144B75" w:rsidP="00941A47">
            <w:pPr>
              <w:jc w:val="center"/>
              <w:rPr>
                <w:b/>
                <w:sz w:val="22"/>
                <w:szCs w:val="22"/>
              </w:rPr>
            </w:pPr>
            <w:r w:rsidRPr="0037252E">
              <w:rPr>
                <w:b/>
                <w:sz w:val="22"/>
                <w:szCs w:val="22"/>
              </w:rPr>
              <w:t>A.1</w:t>
            </w:r>
          </w:p>
        </w:tc>
        <w:tc>
          <w:tcPr>
            <w:tcW w:w="10248" w:type="dxa"/>
          </w:tcPr>
          <w:p w14:paraId="2C91BE37" w14:textId="77777777" w:rsidR="00144B75" w:rsidRPr="0037252E" w:rsidRDefault="00144B75" w:rsidP="00E02E4A">
            <w:pPr>
              <w:rPr>
                <w:b/>
                <w:sz w:val="22"/>
                <w:szCs w:val="22"/>
              </w:rPr>
            </w:pPr>
          </w:p>
          <w:p w14:paraId="4710DB31" w14:textId="54A1AB19" w:rsidR="00144B75" w:rsidRDefault="00706F45" w:rsidP="00E02E4A">
            <w:pPr>
              <w:rPr>
                <w:b/>
                <w:sz w:val="22"/>
                <w:szCs w:val="22"/>
              </w:rPr>
            </w:pPr>
            <w:r w:rsidRPr="00706F45">
              <w:rPr>
                <w:b/>
                <w:sz w:val="22"/>
                <w:szCs w:val="22"/>
              </w:rPr>
              <w:t>Nombre de PHA: Autoridad de Vivienda del Sur de Tucson Código de PHA: AZ025</w:t>
            </w:r>
            <w:r w:rsidR="004510D2">
              <w:rPr>
                <w:b/>
                <w:sz w:val="22"/>
                <w:szCs w:val="22"/>
              </w:rPr>
              <w:t>v2</w:t>
            </w:r>
          </w:p>
          <w:p w14:paraId="10E84650" w14:textId="77777777" w:rsidR="00706F45" w:rsidRPr="0037252E" w:rsidRDefault="00706F45" w:rsidP="00E02E4A">
            <w:pPr>
              <w:rPr>
                <w:sz w:val="22"/>
                <w:szCs w:val="22"/>
              </w:rPr>
            </w:pPr>
          </w:p>
          <w:p w14:paraId="328BBC63" w14:textId="77777777" w:rsidR="00706F45" w:rsidRDefault="00706F45" w:rsidP="00A112C9">
            <w:pPr>
              <w:tabs>
                <w:tab w:val="left" w:pos="6358"/>
              </w:tabs>
              <w:rPr>
                <w:b/>
                <w:bCs/>
                <w:sz w:val="22"/>
                <w:szCs w:val="22"/>
              </w:rPr>
            </w:pPr>
            <w:r w:rsidRPr="00706F45">
              <w:rPr>
                <w:b/>
                <w:bCs/>
                <w:sz w:val="22"/>
                <w:szCs w:val="22"/>
              </w:rPr>
              <w:t>Plan PHA para el año fiscal que comienza: 07/2021</w:t>
            </w:r>
          </w:p>
          <w:p w14:paraId="5129B8FC" w14:textId="63E33509" w:rsidR="00706F45" w:rsidRDefault="00706F45" w:rsidP="00A112C9">
            <w:pPr>
              <w:tabs>
                <w:tab w:val="left" w:pos="6358"/>
              </w:tabs>
              <w:rPr>
                <w:sz w:val="22"/>
                <w:szCs w:val="22"/>
              </w:rPr>
            </w:pPr>
            <w:r w:rsidRPr="00706F45">
              <w:rPr>
                <w:b/>
                <w:bCs/>
                <w:sz w:val="22"/>
                <w:szCs w:val="22"/>
              </w:rPr>
              <w:t>Tipo de presentación del plan PHA:</w:t>
            </w:r>
            <w:r w:rsidR="00144B75" w:rsidRPr="0037252E">
              <w:rPr>
                <w:b/>
                <w:bCs/>
                <w:sz w:val="22"/>
                <w:szCs w:val="22"/>
              </w:rPr>
              <w:t xml:space="preserve">  </w:t>
            </w:r>
            <w:r w:rsidR="0058463E" w:rsidRPr="0037252E">
              <w:rPr>
                <w:sz w:val="22"/>
                <w:szCs w:val="22"/>
              </w:rPr>
              <w:fldChar w:fldCharType="begin">
                <w:ffData>
                  <w:name w:val="Check1"/>
                  <w:enabled/>
                  <w:calcOnExit w:val="0"/>
                  <w:checkBox>
                    <w:sizeAuto/>
                    <w:default w:val="1"/>
                  </w:checkBox>
                </w:ffData>
              </w:fldChar>
            </w:r>
            <w:bookmarkStart w:id="0" w:name="Check1"/>
            <w:r w:rsidR="0058463E" w:rsidRPr="0037252E">
              <w:rPr>
                <w:sz w:val="22"/>
                <w:szCs w:val="22"/>
              </w:rPr>
              <w:instrText xml:space="preserve"> FORMCHECKBOX </w:instrText>
            </w:r>
            <w:r w:rsidR="009F2986">
              <w:rPr>
                <w:sz w:val="22"/>
                <w:szCs w:val="22"/>
              </w:rPr>
            </w:r>
            <w:r w:rsidR="009F2986">
              <w:rPr>
                <w:sz w:val="22"/>
                <w:szCs w:val="22"/>
              </w:rPr>
              <w:fldChar w:fldCharType="separate"/>
            </w:r>
            <w:r w:rsidR="0058463E" w:rsidRPr="0037252E">
              <w:rPr>
                <w:sz w:val="22"/>
                <w:szCs w:val="22"/>
              </w:rPr>
              <w:fldChar w:fldCharType="end"/>
            </w:r>
            <w:bookmarkEnd w:id="0"/>
            <w:r w:rsidR="00144B75" w:rsidRPr="0037252E">
              <w:rPr>
                <w:sz w:val="22"/>
                <w:szCs w:val="22"/>
              </w:rPr>
              <w:t xml:space="preserve"> </w:t>
            </w:r>
            <w:r w:rsidRPr="00706F45">
              <w:rPr>
                <w:sz w:val="22"/>
                <w:szCs w:val="22"/>
              </w:rPr>
              <w:t>Presentación del plan de 5 años</w:t>
            </w:r>
            <w:r>
              <w:rPr>
                <w:sz w:val="22"/>
                <w:szCs w:val="22"/>
              </w:rPr>
              <w:t xml:space="preserve">  </w:t>
            </w:r>
            <w:r w:rsidR="001B2704" w:rsidRPr="0037252E">
              <w:rPr>
                <w:sz w:val="22"/>
                <w:szCs w:val="22"/>
              </w:rPr>
              <w:fldChar w:fldCharType="begin">
                <w:ffData>
                  <w:name w:val="Check1"/>
                  <w:enabled/>
                  <w:calcOnExit w:val="0"/>
                  <w:checkBox>
                    <w:sizeAuto/>
                    <w:default w:val="0"/>
                  </w:checkBox>
                </w:ffData>
              </w:fldChar>
            </w:r>
            <w:r w:rsidR="00144B75" w:rsidRPr="0037252E">
              <w:rPr>
                <w:sz w:val="22"/>
                <w:szCs w:val="22"/>
              </w:rPr>
              <w:instrText xml:space="preserve"> FORMCHECKBOX </w:instrText>
            </w:r>
            <w:r w:rsidR="009F2986">
              <w:rPr>
                <w:sz w:val="22"/>
                <w:szCs w:val="22"/>
              </w:rPr>
            </w:r>
            <w:r w:rsidR="009F2986">
              <w:rPr>
                <w:sz w:val="22"/>
                <w:szCs w:val="22"/>
              </w:rPr>
              <w:fldChar w:fldCharType="separate"/>
            </w:r>
            <w:r w:rsidR="001B2704" w:rsidRPr="0037252E">
              <w:rPr>
                <w:sz w:val="22"/>
                <w:szCs w:val="22"/>
              </w:rPr>
              <w:fldChar w:fldCharType="end"/>
            </w:r>
            <w:r w:rsidR="00144B75" w:rsidRPr="0037252E">
              <w:rPr>
                <w:sz w:val="22"/>
                <w:szCs w:val="22"/>
              </w:rPr>
              <w:t xml:space="preserve"> </w:t>
            </w:r>
            <w:r>
              <w:rPr>
                <w:sz w:val="22"/>
                <w:szCs w:val="22"/>
              </w:rPr>
              <w:t>P</w:t>
            </w:r>
            <w:r w:rsidRPr="00706F45">
              <w:rPr>
                <w:sz w:val="22"/>
                <w:szCs w:val="22"/>
              </w:rPr>
              <w:t>lan de 5 años revisado</w:t>
            </w:r>
          </w:p>
          <w:p w14:paraId="4CEAB9B5" w14:textId="77777777" w:rsidR="00706F45" w:rsidRDefault="00706F45" w:rsidP="00A112C9">
            <w:pPr>
              <w:tabs>
                <w:tab w:val="left" w:pos="6358"/>
              </w:tabs>
              <w:rPr>
                <w:sz w:val="22"/>
                <w:szCs w:val="22"/>
              </w:rPr>
            </w:pPr>
          </w:p>
          <w:p w14:paraId="164CC6FE" w14:textId="446DA0E7" w:rsidR="00144B75" w:rsidRPr="0037252E" w:rsidRDefault="00706F45" w:rsidP="00A112C9">
            <w:pPr>
              <w:tabs>
                <w:tab w:val="left" w:pos="6358"/>
              </w:tabs>
              <w:rPr>
                <w:sz w:val="22"/>
                <w:szCs w:val="22"/>
              </w:rPr>
            </w:pPr>
            <w:r w:rsidRPr="00706F45">
              <w:rPr>
                <w:sz w:val="22"/>
                <w:szCs w:val="22"/>
              </w:rPr>
              <w:t>Sumisión</w:t>
            </w:r>
            <w:r w:rsidR="00144B75" w:rsidRPr="0037252E">
              <w:rPr>
                <w:sz w:val="22"/>
                <w:szCs w:val="22"/>
              </w:rPr>
              <w:tab/>
            </w:r>
          </w:p>
          <w:p w14:paraId="1A7AAC0F" w14:textId="77777777" w:rsidR="00144B75" w:rsidRPr="0037252E" w:rsidRDefault="00144B75" w:rsidP="00E02E4A">
            <w:pPr>
              <w:rPr>
                <w:b/>
                <w:bCs/>
                <w:sz w:val="22"/>
                <w:szCs w:val="22"/>
              </w:rPr>
            </w:pPr>
          </w:p>
          <w:p w14:paraId="6F276E40" w14:textId="6FF1609B" w:rsidR="0072202E" w:rsidRPr="0037252E" w:rsidRDefault="00706F45" w:rsidP="0072202E">
            <w:pPr>
              <w:rPr>
                <w:b/>
                <w:bCs/>
                <w:sz w:val="22"/>
                <w:szCs w:val="22"/>
              </w:rPr>
            </w:pPr>
            <w:r w:rsidRPr="00706F45">
              <w:rPr>
                <w:b/>
                <w:bCs/>
                <w:sz w:val="22"/>
                <w:szCs w:val="22"/>
              </w:rPr>
              <w:t xml:space="preserve">Disponibilidad de Información. </w:t>
            </w:r>
            <w:r w:rsidRPr="00A075C5">
              <w:rPr>
                <w:bCs/>
                <w:sz w:val="22"/>
                <w:szCs w:val="22"/>
              </w:rPr>
              <w:t>Además de los elementos enumerados en este formulario, las PHA deben tener los elementos enumerados a continuación fácilmente disponibles para el público. Una PHA debe identificar las ubicaciones específicas donde el Plan PHA propuesto, los Elementos del Plan PHA y toda la información relevante para la audiencia pública y el Plan PHA propuesto están disponibles para la inspección del público.</w:t>
            </w:r>
            <w:r w:rsidR="00A075C5">
              <w:t xml:space="preserve"> </w:t>
            </w:r>
            <w:r w:rsidR="00A075C5" w:rsidRPr="00A075C5">
              <w:rPr>
                <w:bCs/>
                <w:sz w:val="22"/>
                <w:szCs w:val="22"/>
              </w:rPr>
              <w:t>Además, la PHA debe proporcionar información sobre cómo el público puede obtener razonablemente información adicional sobre las políticas de la PHA contenidas en el Plan Anual estándar, pero excluidas de sus presentaciones simplificadas. Como mínimo, las PHA deben publicar los Planes de la PHA, incluidas las actualizaciones, en cada Proyecto de gestión de activos (AMP) y en la oficina principal o central de la PHA. Se recomienda encarecidamente a las PHA que publiquen los planes PHA completos en sus sitios web oficiales. También se alienta a las PHA a proporcionar a cada consejo de residentes una copia de sus Planes de la PHA.</w:t>
            </w:r>
            <w:r w:rsidR="0072202E" w:rsidRPr="0037252E">
              <w:rPr>
                <w:b/>
                <w:bCs/>
                <w:sz w:val="22"/>
                <w:szCs w:val="22"/>
              </w:rPr>
              <w:t xml:space="preserve">  </w:t>
            </w:r>
          </w:p>
          <w:p w14:paraId="56BD6CEF" w14:textId="77777777" w:rsidR="009328FF" w:rsidRPr="0037252E" w:rsidRDefault="009328FF" w:rsidP="0072202E">
            <w:pPr>
              <w:rPr>
                <w:b/>
                <w:bCs/>
                <w:sz w:val="22"/>
                <w:szCs w:val="22"/>
              </w:rPr>
            </w:pPr>
          </w:p>
          <w:p w14:paraId="3C08E504" w14:textId="77777777" w:rsidR="009328FF" w:rsidRPr="0037252E" w:rsidRDefault="009328FF" w:rsidP="0072202E">
            <w:pPr>
              <w:rPr>
                <w:b/>
                <w:bCs/>
                <w:sz w:val="22"/>
                <w:szCs w:val="22"/>
              </w:rPr>
            </w:pPr>
          </w:p>
          <w:p w14:paraId="10742835" w14:textId="34F93633" w:rsidR="006160E6" w:rsidRDefault="00A075C5" w:rsidP="0072202E">
            <w:pPr>
              <w:rPr>
                <w:b/>
                <w:bCs/>
                <w:sz w:val="22"/>
                <w:szCs w:val="22"/>
              </w:rPr>
            </w:pPr>
            <w:r w:rsidRPr="00A075C5">
              <w:rPr>
                <w:b/>
                <w:bCs/>
                <w:sz w:val="22"/>
                <w:szCs w:val="22"/>
              </w:rPr>
              <w:t>El lugar específico donde el público puede revisar y/u obtener copias del Plan PHA en inglés y español es la oficina administrativa principal que se detalla aquí:</w:t>
            </w:r>
          </w:p>
          <w:p w14:paraId="57A10523" w14:textId="77777777" w:rsidR="00A075C5" w:rsidRDefault="00A075C5" w:rsidP="0072202E">
            <w:pPr>
              <w:rPr>
                <w:b/>
                <w:bCs/>
                <w:sz w:val="22"/>
                <w:szCs w:val="22"/>
              </w:rPr>
            </w:pPr>
          </w:p>
          <w:p w14:paraId="3C469C46" w14:textId="1D1952DD" w:rsidR="009328FF" w:rsidRDefault="00A075C5" w:rsidP="0072202E">
            <w:pPr>
              <w:rPr>
                <w:b/>
                <w:bCs/>
                <w:sz w:val="22"/>
                <w:szCs w:val="22"/>
              </w:rPr>
            </w:pPr>
            <w:r w:rsidRPr="00A075C5">
              <w:rPr>
                <w:b/>
                <w:bCs/>
                <w:sz w:val="22"/>
                <w:szCs w:val="22"/>
              </w:rPr>
              <w:t>A</w:t>
            </w:r>
            <w:r>
              <w:rPr>
                <w:b/>
                <w:bCs/>
                <w:sz w:val="22"/>
                <w:szCs w:val="22"/>
              </w:rPr>
              <w:t xml:space="preserve">utoridad de Vivienda del Sur </w:t>
            </w:r>
            <w:r w:rsidRPr="00A075C5">
              <w:rPr>
                <w:b/>
                <w:bCs/>
                <w:sz w:val="22"/>
                <w:szCs w:val="22"/>
              </w:rPr>
              <w:t>Tucson</w:t>
            </w:r>
          </w:p>
          <w:p w14:paraId="21BAD24E" w14:textId="40B7ACEC" w:rsidR="006160E6" w:rsidRDefault="006160E6" w:rsidP="0072202E">
            <w:pPr>
              <w:rPr>
                <w:b/>
                <w:bCs/>
                <w:sz w:val="22"/>
                <w:szCs w:val="22"/>
              </w:rPr>
            </w:pPr>
            <w:r>
              <w:rPr>
                <w:b/>
                <w:bCs/>
                <w:sz w:val="22"/>
                <w:szCs w:val="22"/>
              </w:rPr>
              <w:t>1713 S 3</w:t>
            </w:r>
            <w:r w:rsidRPr="006160E6">
              <w:rPr>
                <w:b/>
                <w:bCs/>
                <w:sz w:val="22"/>
                <w:szCs w:val="22"/>
                <w:vertAlign w:val="superscript"/>
              </w:rPr>
              <w:t>rd</w:t>
            </w:r>
            <w:r>
              <w:rPr>
                <w:b/>
                <w:bCs/>
                <w:sz w:val="22"/>
                <w:szCs w:val="22"/>
              </w:rPr>
              <w:t xml:space="preserve"> Avenue</w:t>
            </w:r>
          </w:p>
          <w:p w14:paraId="6171AE67" w14:textId="549C36F1" w:rsidR="006160E6" w:rsidRDefault="006160E6" w:rsidP="0072202E">
            <w:pPr>
              <w:rPr>
                <w:b/>
                <w:bCs/>
                <w:sz w:val="22"/>
                <w:szCs w:val="22"/>
              </w:rPr>
            </w:pPr>
            <w:r>
              <w:rPr>
                <w:b/>
                <w:bCs/>
                <w:sz w:val="22"/>
                <w:szCs w:val="22"/>
              </w:rPr>
              <w:t>South Tucson, AZ 85713</w:t>
            </w:r>
          </w:p>
          <w:p w14:paraId="07F4A9C6" w14:textId="508A44ED" w:rsidR="006160E6" w:rsidRDefault="006160E6" w:rsidP="0072202E">
            <w:pPr>
              <w:rPr>
                <w:rStyle w:val="Hyperlink"/>
                <w:b/>
                <w:bCs/>
                <w:sz w:val="22"/>
                <w:szCs w:val="22"/>
              </w:rPr>
            </w:pPr>
            <w:r>
              <w:rPr>
                <w:b/>
                <w:bCs/>
                <w:sz w:val="22"/>
                <w:szCs w:val="22"/>
              </w:rPr>
              <w:t xml:space="preserve">(520) 623-8481 </w:t>
            </w:r>
            <w:hyperlink r:id="rId8" w:history="1">
              <w:r w:rsidR="003362CF" w:rsidRPr="005714F5">
                <w:rPr>
                  <w:rStyle w:val="Hyperlink"/>
                  <w:b/>
                  <w:bCs/>
                  <w:sz w:val="22"/>
                  <w:szCs w:val="22"/>
                </w:rPr>
                <w:t>stha@southtucson.org</w:t>
              </w:r>
            </w:hyperlink>
          </w:p>
          <w:p w14:paraId="6482E4A6" w14:textId="77777777" w:rsidR="007E5F9D" w:rsidRDefault="007E5F9D" w:rsidP="0072202E">
            <w:pPr>
              <w:rPr>
                <w:rStyle w:val="Hyperlink"/>
                <w:b/>
                <w:bCs/>
                <w:sz w:val="22"/>
                <w:szCs w:val="22"/>
              </w:rPr>
            </w:pPr>
          </w:p>
          <w:p w14:paraId="0C8A8F45" w14:textId="0911A031" w:rsidR="007E5F9D" w:rsidRPr="007E5F9D" w:rsidRDefault="00A075C5" w:rsidP="0072202E">
            <w:pPr>
              <w:rPr>
                <w:b/>
                <w:bCs/>
                <w:sz w:val="22"/>
                <w:szCs w:val="22"/>
              </w:rPr>
            </w:pPr>
            <w:r w:rsidRPr="00A075C5">
              <w:rPr>
                <w:rStyle w:val="Hyperlink"/>
                <w:color w:val="000000" w:themeColor="text1"/>
                <w:u w:val="none"/>
              </w:rPr>
              <w:t>o sitio web</w:t>
            </w:r>
            <w:r w:rsidR="007E5F9D" w:rsidRPr="007E5F9D">
              <w:rPr>
                <w:rStyle w:val="Hyperlink"/>
                <w:color w:val="000000" w:themeColor="text1"/>
                <w:u w:val="none"/>
              </w:rPr>
              <w:t>:</w:t>
            </w:r>
            <w:r w:rsidR="007E5F9D" w:rsidRPr="007E5F9D">
              <w:rPr>
                <w:rStyle w:val="Hyperlink"/>
                <w:color w:val="000000" w:themeColor="text1"/>
              </w:rPr>
              <w:t xml:space="preserve"> </w:t>
            </w:r>
            <w:r w:rsidR="007E5F9D">
              <w:rPr>
                <w:rStyle w:val="Hyperlink"/>
              </w:rPr>
              <w:t>www.southtucsonaz.gov</w:t>
            </w:r>
          </w:p>
          <w:p w14:paraId="6383221F" w14:textId="77777777" w:rsidR="003362CF" w:rsidRDefault="003362CF" w:rsidP="0072202E">
            <w:pPr>
              <w:rPr>
                <w:b/>
                <w:bCs/>
                <w:sz w:val="22"/>
                <w:szCs w:val="22"/>
              </w:rPr>
            </w:pPr>
          </w:p>
          <w:p w14:paraId="38C0D9ED" w14:textId="77777777" w:rsidR="003362CF" w:rsidRDefault="003362CF" w:rsidP="0072202E">
            <w:pPr>
              <w:rPr>
                <w:b/>
                <w:bCs/>
                <w:sz w:val="22"/>
                <w:szCs w:val="22"/>
              </w:rPr>
            </w:pPr>
          </w:p>
          <w:p w14:paraId="37657060" w14:textId="796E9A34" w:rsidR="007E5F9D" w:rsidRDefault="00A075C5" w:rsidP="007E5F9D">
            <w:r w:rsidRPr="00A075C5">
              <w:t>STHA está comprometida con el cumplimiento de la Ley de Discapacidades Estadounidenses. Se proporcionarán modificaciones razonables e igualdad de acceso a las comunicaciones para las personas con TTD/TTY llame al 1.800.367.8939 y los idiomas con dominio limitado del inglés previa solicitud llamando al 520-623-8481. La interpretación en español de todos los documentos está disponible durante el horario regular de oficina de 8:00 a. m. a 5:00 p. m. en la oficina administrativa de STHA</w:t>
            </w:r>
            <w:r w:rsidR="007E5F9D">
              <w:t xml:space="preserve">.  </w:t>
            </w:r>
          </w:p>
          <w:p w14:paraId="59752AB1" w14:textId="77777777" w:rsidR="003362CF" w:rsidRDefault="003362CF" w:rsidP="0072202E">
            <w:pPr>
              <w:rPr>
                <w:b/>
                <w:bCs/>
                <w:sz w:val="22"/>
                <w:szCs w:val="22"/>
              </w:rPr>
            </w:pPr>
          </w:p>
          <w:p w14:paraId="7EF3C115" w14:textId="77777777" w:rsidR="003362CF" w:rsidRDefault="003362CF" w:rsidP="0072202E">
            <w:pPr>
              <w:rPr>
                <w:b/>
                <w:bCs/>
                <w:sz w:val="22"/>
                <w:szCs w:val="22"/>
              </w:rPr>
            </w:pPr>
          </w:p>
          <w:p w14:paraId="68433B56" w14:textId="77777777" w:rsidR="003362CF" w:rsidRDefault="003362CF" w:rsidP="0072202E">
            <w:pPr>
              <w:rPr>
                <w:b/>
                <w:bCs/>
                <w:sz w:val="22"/>
                <w:szCs w:val="22"/>
              </w:rPr>
            </w:pPr>
          </w:p>
          <w:p w14:paraId="7648440E" w14:textId="77777777" w:rsidR="003362CF" w:rsidRDefault="003362CF" w:rsidP="0072202E">
            <w:pPr>
              <w:rPr>
                <w:b/>
                <w:bCs/>
                <w:sz w:val="22"/>
                <w:szCs w:val="22"/>
              </w:rPr>
            </w:pPr>
          </w:p>
          <w:p w14:paraId="4D67C9EA" w14:textId="77777777" w:rsidR="003362CF" w:rsidRDefault="003362CF" w:rsidP="0072202E">
            <w:pPr>
              <w:rPr>
                <w:b/>
                <w:bCs/>
                <w:sz w:val="22"/>
                <w:szCs w:val="22"/>
              </w:rPr>
            </w:pPr>
          </w:p>
          <w:p w14:paraId="21BA0787" w14:textId="77777777" w:rsidR="003362CF" w:rsidRDefault="003362CF" w:rsidP="0072202E">
            <w:pPr>
              <w:rPr>
                <w:b/>
                <w:bCs/>
                <w:sz w:val="22"/>
                <w:szCs w:val="22"/>
              </w:rPr>
            </w:pPr>
          </w:p>
          <w:p w14:paraId="78BF80A2" w14:textId="77777777" w:rsidR="003362CF" w:rsidRDefault="003362CF" w:rsidP="0072202E">
            <w:pPr>
              <w:rPr>
                <w:b/>
                <w:bCs/>
                <w:sz w:val="22"/>
                <w:szCs w:val="22"/>
              </w:rPr>
            </w:pPr>
            <w:bookmarkStart w:id="1" w:name="_GoBack"/>
            <w:bookmarkEnd w:id="1"/>
          </w:p>
          <w:p w14:paraId="65B6C8B3" w14:textId="77777777" w:rsidR="003362CF" w:rsidRDefault="003362CF" w:rsidP="0072202E">
            <w:pPr>
              <w:rPr>
                <w:b/>
                <w:bCs/>
                <w:sz w:val="22"/>
                <w:szCs w:val="22"/>
              </w:rPr>
            </w:pPr>
          </w:p>
          <w:p w14:paraId="540438FA" w14:textId="3B837D26" w:rsidR="00AC0225" w:rsidRPr="0037252E" w:rsidRDefault="00A075C5" w:rsidP="0072202E">
            <w:pPr>
              <w:rPr>
                <w:b/>
                <w:bCs/>
                <w:sz w:val="22"/>
                <w:szCs w:val="22"/>
              </w:rPr>
            </w:pPr>
            <w:r w:rsidRPr="00A075C5">
              <w:rPr>
                <w:bCs/>
                <w:sz w:val="22"/>
                <w:szCs w:val="22"/>
              </w:rPr>
              <w:t>Consorcios de PHA: (Marque la casilla si presenta un Plan de PHA conjunto y complete la tabla a continuación)</w:t>
            </w:r>
          </w:p>
          <w:tbl>
            <w:tblPr>
              <w:tblpPr w:leftFromText="180" w:rightFromText="180" w:vertAnchor="text" w:tblpX="-5"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4"/>
              <w:gridCol w:w="1092"/>
              <w:gridCol w:w="2060"/>
              <w:gridCol w:w="2278"/>
              <w:gridCol w:w="1261"/>
              <w:gridCol w:w="1320"/>
            </w:tblGrid>
            <w:tr w:rsidR="00322ADB" w:rsidRPr="0037252E" w14:paraId="5DF383FE" w14:textId="77777777" w:rsidTr="00351228">
              <w:trPr>
                <w:trHeight w:val="312"/>
              </w:trPr>
              <w:tc>
                <w:tcPr>
                  <w:tcW w:w="1456" w:type="dxa"/>
                  <w:vMerge w:val="restart"/>
                  <w:vAlign w:val="center"/>
                </w:tcPr>
                <w:p w14:paraId="410AA909" w14:textId="00BE6168" w:rsidR="00322ADB" w:rsidRPr="0037252E" w:rsidRDefault="00A075C5" w:rsidP="00322ADB">
                  <w:pPr>
                    <w:jc w:val="center"/>
                    <w:rPr>
                      <w:b/>
                      <w:sz w:val="22"/>
                      <w:szCs w:val="22"/>
                    </w:rPr>
                  </w:pPr>
                  <w:r>
                    <w:rPr>
                      <w:b/>
                      <w:sz w:val="22"/>
                      <w:szCs w:val="22"/>
                    </w:rPr>
                    <w:t>PHA P</w:t>
                  </w:r>
                  <w:r w:rsidRPr="00A075C5">
                    <w:rPr>
                      <w:b/>
                      <w:sz w:val="22"/>
                      <w:szCs w:val="22"/>
                    </w:rPr>
                    <w:t>articipantes</w:t>
                  </w:r>
                </w:p>
              </w:tc>
              <w:tc>
                <w:tcPr>
                  <w:tcW w:w="0" w:type="auto"/>
                  <w:vMerge w:val="restart"/>
                  <w:vAlign w:val="center"/>
                </w:tcPr>
                <w:p w14:paraId="51038C6B" w14:textId="0B70979D" w:rsidR="00322ADB" w:rsidRPr="0037252E" w:rsidRDefault="00A075C5" w:rsidP="00322ADB">
                  <w:pPr>
                    <w:jc w:val="center"/>
                    <w:rPr>
                      <w:b/>
                      <w:sz w:val="22"/>
                      <w:szCs w:val="22"/>
                    </w:rPr>
                  </w:pPr>
                  <w:r w:rsidRPr="00A075C5">
                    <w:rPr>
                      <w:b/>
                      <w:sz w:val="22"/>
                      <w:szCs w:val="22"/>
                    </w:rPr>
                    <w:t>Código PHA</w:t>
                  </w:r>
                </w:p>
              </w:tc>
              <w:tc>
                <w:tcPr>
                  <w:tcW w:w="0" w:type="auto"/>
                  <w:vMerge w:val="restart"/>
                  <w:vAlign w:val="center"/>
                </w:tcPr>
                <w:p w14:paraId="102ED006" w14:textId="5F6C70A7" w:rsidR="00322ADB" w:rsidRPr="0037252E" w:rsidRDefault="00A075C5" w:rsidP="00322ADB">
                  <w:pPr>
                    <w:jc w:val="center"/>
                    <w:rPr>
                      <w:b/>
                      <w:sz w:val="22"/>
                      <w:szCs w:val="22"/>
                    </w:rPr>
                  </w:pPr>
                  <w:r w:rsidRPr="00A075C5">
                    <w:rPr>
                      <w:b/>
                      <w:sz w:val="22"/>
                      <w:szCs w:val="22"/>
                    </w:rPr>
                    <w:t>Programa(s) en los Consorcios</w:t>
                  </w:r>
                </w:p>
              </w:tc>
              <w:tc>
                <w:tcPr>
                  <w:tcW w:w="0" w:type="auto"/>
                  <w:vMerge w:val="restart"/>
                  <w:vAlign w:val="center"/>
                </w:tcPr>
                <w:p w14:paraId="6EEF1FEA" w14:textId="53E05CA6" w:rsidR="00322ADB" w:rsidRPr="0037252E" w:rsidRDefault="00A075C5" w:rsidP="00322ADB">
                  <w:pPr>
                    <w:jc w:val="center"/>
                    <w:rPr>
                      <w:b/>
                      <w:sz w:val="22"/>
                      <w:szCs w:val="22"/>
                    </w:rPr>
                  </w:pPr>
                  <w:r w:rsidRPr="00A075C5">
                    <w:rPr>
                      <w:b/>
                      <w:sz w:val="22"/>
                      <w:szCs w:val="22"/>
                    </w:rPr>
                    <w:t>Programa(s) fuera de los Consorcios</w:t>
                  </w:r>
                </w:p>
              </w:tc>
              <w:tc>
                <w:tcPr>
                  <w:tcW w:w="2581" w:type="dxa"/>
                  <w:gridSpan w:val="2"/>
                  <w:vAlign w:val="center"/>
                </w:tcPr>
                <w:p w14:paraId="66A83483" w14:textId="7DB50B97" w:rsidR="00322ADB" w:rsidRPr="0037252E" w:rsidRDefault="00A075C5" w:rsidP="00322ADB">
                  <w:pPr>
                    <w:jc w:val="center"/>
                    <w:rPr>
                      <w:b/>
                      <w:sz w:val="22"/>
                      <w:szCs w:val="22"/>
                    </w:rPr>
                  </w:pPr>
                  <w:r w:rsidRPr="00A075C5">
                    <w:rPr>
                      <w:b/>
                      <w:sz w:val="22"/>
                      <w:szCs w:val="22"/>
                    </w:rPr>
                    <w:t>No. de Unidades en Cada Programa</w:t>
                  </w:r>
                </w:p>
              </w:tc>
            </w:tr>
            <w:tr w:rsidR="00322ADB" w:rsidRPr="0037252E" w14:paraId="143B95E8" w14:textId="77777777" w:rsidTr="00351228">
              <w:trPr>
                <w:trHeight w:val="231"/>
              </w:trPr>
              <w:tc>
                <w:tcPr>
                  <w:tcW w:w="1456" w:type="dxa"/>
                  <w:vMerge/>
                </w:tcPr>
                <w:p w14:paraId="621B9185" w14:textId="77777777" w:rsidR="00322ADB" w:rsidRPr="0037252E" w:rsidRDefault="00322ADB" w:rsidP="00322ADB">
                  <w:pPr>
                    <w:rPr>
                      <w:sz w:val="22"/>
                      <w:szCs w:val="22"/>
                    </w:rPr>
                  </w:pPr>
                </w:p>
              </w:tc>
              <w:tc>
                <w:tcPr>
                  <w:tcW w:w="0" w:type="auto"/>
                  <w:vMerge/>
                </w:tcPr>
                <w:p w14:paraId="56AA8AE2" w14:textId="77777777" w:rsidR="00322ADB" w:rsidRPr="0037252E" w:rsidRDefault="00322ADB" w:rsidP="00322ADB">
                  <w:pPr>
                    <w:rPr>
                      <w:sz w:val="22"/>
                      <w:szCs w:val="22"/>
                    </w:rPr>
                  </w:pPr>
                </w:p>
              </w:tc>
              <w:tc>
                <w:tcPr>
                  <w:tcW w:w="0" w:type="auto"/>
                  <w:vMerge/>
                </w:tcPr>
                <w:p w14:paraId="679EEBB2" w14:textId="77777777" w:rsidR="00322ADB" w:rsidRPr="0037252E" w:rsidRDefault="00322ADB" w:rsidP="00322ADB">
                  <w:pPr>
                    <w:rPr>
                      <w:b/>
                      <w:sz w:val="22"/>
                      <w:szCs w:val="22"/>
                    </w:rPr>
                  </w:pPr>
                </w:p>
              </w:tc>
              <w:tc>
                <w:tcPr>
                  <w:tcW w:w="0" w:type="auto"/>
                  <w:vMerge/>
                </w:tcPr>
                <w:p w14:paraId="56C50592" w14:textId="77777777" w:rsidR="00322ADB" w:rsidRPr="0037252E" w:rsidRDefault="00322ADB" w:rsidP="00322ADB">
                  <w:pPr>
                    <w:rPr>
                      <w:b/>
                      <w:sz w:val="22"/>
                      <w:szCs w:val="22"/>
                    </w:rPr>
                  </w:pPr>
                </w:p>
              </w:tc>
              <w:tc>
                <w:tcPr>
                  <w:tcW w:w="1261" w:type="dxa"/>
                  <w:vAlign w:val="center"/>
                </w:tcPr>
                <w:p w14:paraId="5F73A02F" w14:textId="77777777" w:rsidR="00322ADB" w:rsidRPr="0037252E" w:rsidRDefault="00322ADB" w:rsidP="00322ADB">
                  <w:pPr>
                    <w:jc w:val="center"/>
                    <w:rPr>
                      <w:b/>
                      <w:sz w:val="22"/>
                      <w:szCs w:val="22"/>
                    </w:rPr>
                  </w:pPr>
                  <w:r w:rsidRPr="0037252E">
                    <w:rPr>
                      <w:b/>
                      <w:sz w:val="22"/>
                      <w:szCs w:val="22"/>
                    </w:rPr>
                    <w:t>PH</w:t>
                  </w:r>
                </w:p>
              </w:tc>
              <w:tc>
                <w:tcPr>
                  <w:tcW w:w="1320" w:type="dxa"/>
                  <w:vAlign w:val="center"/>
                </w:tcPr>
                <w:p w14:paraId="71D5055C" w14:textId="77777777" w:rsidR="00322ADB" w:rsidRPr="0037252E" w:rsidRDefault="00322ADB" w:rsidP="00322ADB">
                  <w:pPr>
                    <w:jc w:val="center"/>
                    <w:rPr>
                      <w:b/>
                      <w:sz w:val="22"/>
                      <w:szCs w:val="22"/>
                    </w:rPr>
                  </w:pPr>
                  <w:r w:rsidRPr="0037252E">
                    <w:rPr>
                      <w:b/>
                      <w:sz w:val="22"/>
                      <w:szCs w:val="22"/>
                    </w:rPr>
                    <w:t>HCV</w:t>
                  </w:r>
                </w:p>
              </w:tc>
            </w:tr>
            <w:tr w:rsidR="00322ADB" w:rsidRPr="0037252E" w14:paraId="07A1497E" w14:textId="77777777" w:rsidTr="00351228">
              <w:trPr>
                <w:trHeight w:val="864"/>
              </w:trPr>
              <w:tc>
                <w:tcPr>
                  <w:tcW w:w="1456" w:type="dxa"/>
                </w:tcPr>
                <w:p w14:paraId="13D50564" w14:textId="318D9B4C" w:rsidR="00322ADB" w:rsidRPr="0037252E" w:rsidRDefault="00A075C5" w:rsidP="00A075C5">
                  <w:pPr>
                    <w:rPr>
                      <w:bCs/>
                      <w:sz w:val="22"/>
                      <w:szCs w:val="22"/>
                    </w:rPr>
                  </w:pPr>
                  <w:r w:rsidRPr="00A075C5">
                    <w:rPr>
                      <w:bCs/>
                      <w:sz w:val="22"/>
                      <w:szCs w:val="22"/>
                    </w:rPr>
                    <w:t xml:space="preserve">PHA </w:t>
                  </w:r>
                  <w:r>
                    <w:rPr>
                      <w:bCs/>
                      <w:sz w:val="22"/>
                      <w:szCs w:val="22"/>
                    </w:rPr>
                    <w:t>P</w:t>
                  </w:r>
                  <w:r w:rsidRPr="00A075C5">
                    <w:rPr>
                      <w:bCs/>
                      <w:sz w:val="22"/>
                      <w:szCs w:val="22"/>
                    </w:rPr>
                    <w:t>rincipal:</w:t>
                  </w:r>
                  <w:r w:rsidR="00322ADB" w:rsidRPr="0037252E">
                    <w:rPr>
                      <w:bCs/>
                      <w:sz w:val="22"/>
                      <w:szCs w:val="22"/>
                    </w:rPr>
                    <w:t xml:space="preserve">                                            </w:t>
                  </w:r>
                </w:p>
              </w:tc>
              <w:tc>
                <w:tcPr>
                  <w:tcW w:w="0" w:type="auto"/>
                </w:tcPr>
                <w:p w14:paraId="6E3C83F3" w14:textId="77777777" w:rsidR="00322ADB" w:rsidRPr="0037252E" w:rsidRDefault="00322ADB" w:rsidP="00322ADB">
                  <w:pPr>
                    <w:rPr>
                      <w:bCs/>
                      <w:sz w:val="22"/>
                      <w:szCs w:val="22"/>
                    </w:rPr>
                  </w:pPr>
                </w:p>
                <w:p w14:paraId="229EEB14" w14:textId="38C22A53" w:rsidR="00322ADB" w:rsidRPr="0037252E" w:rsidRDefault="00A075C5" w:rsidP="00322ADB">
                  <w:pPr>
                    <w:rPr>
                      <w:bCs/>
                      <w:sz w:val="22"/>
                      <w:szCs w:val="22"/>
                    </w:rPr>
                  </w:pPr>
                  <w:r>
                    <w:rPr>
                      <w:bCs/>
                      <w:sz w:val="22"/>
                      <w:szCs w:val="22"/>
                    </w:rPr>
                    <w:t>AZ025</w:t>
                  </w:r>
                </w:p>
              </w:tc>
              <w:tc>
                <w:tcPr>
                  <w:tcW w:w="0" w:type="auto"/>
                </w:tcPr>
                <w:p w14:paraId="45AD2406" w14:textId="77777777" w:rsidR="00322ADB" w:rsidRPr="0037252E" w:rsidRDefault="00322ADB" w:rsidP="00322ADB">
                  <w:pPr>
                    <w:rPr>
                      <w:bCs/>
                      <w:sz w:val="22"/>
                      <w:szCs w:val="22"/>
                    </w:rPr>
                  </w:pPr>
                </w:p>
                <w:p w14:paraId="1E4BD824" w14:textId="77777777" w:rsidR="00322ADB" w:rsidRPr="0037252E" w:rsidRDefault="00322ADB" w:rsidP="00322ADB">
                  <w:pPr>
                    <w:rPr>
                      <w:bCs/>
                      <w:sz w:val="22"/>
                      <w:szCs w:val="22"/>
                    </w:rPr>
                  </w:pPr>
                </w:p>
              </w:tc>
              <w:tc>
                <w:tcPr>
                  <w:tcW w:w="0" w:type="auto"/>
                </w:tcPr>
                <w:p w14:paraId="5EAFAE60" w14:textId="77777777" w:rsidR="00322ADB" w:rsidRPr="0037252E" w:rsidRDefault="00322ADB" w:rsidP="00322ADB">
                  <w:pPr>
                    <w:rPr>
                      <w:bCs/>
                      <w:sz w:val="22"/>
                      <w:szCs w:val="22"/>
                    </w:rPr>
                  </w:pPr>
                </w:p>
                <w:p w14:paraId="14C175CA" w14:textId="77777777" w:rsidR="00322ADB" w:rsidRPr="0037252E" w:rsidRDefault="00322ADB" w:rsidP="00322ADB">
                  <w:pPr>
                    <w:rPr>
                      <w:bCs/>
                      <w:sz w:val="22"/>
                      <w:szCs w:val="22"/>
                    </w:rPr>
                  </w:pPr>
                </w:p>
              </w:tc>
              <w:tc>
                <w:tcPr>
                  <w:tcW w:w="1261" w:type="dxa"/>
                </w:tcPr>
                <w:p w14:paraId="5CD082D9" w14:textId="667723D1" w:rsidR="00322ADB" w:rsidRPr="0037252E" w:rsidRDefault="000F441B" w:rsidP="000F441B">
                  <w:pPr>
                    <w:jc w:val="center"/>
                    <w:rPr>
                      <w:bCs/>
                      <w:sz w:val="22"/>
                      <w:szCs w:val="22"/>
                    </w:rPr>
                  </w:pPr>
                  <w:r>
                    <w:rPr>
                      <w:bCs/>
                      <w:sz w:val="22"/>
                      <w:szCs w:val="22"/>
                    </w:rPr>
                    <w:t>172</w:t>
                  </w:r>
                </w:p>
              </w:tc>
              <w:tc>
                <w:tcPr>
                  <w:tcW w:w="1320" w:type="dxa"/>
                </w:tcPr>
                <w:p w14:paraId="4638AF13" w14:textId="03A5EB16" w:rsidR="00322ADB" w:rsidRPr="0037252E" w:rsidRDefault="000F441B" w:rsidP="00322ADB">
                  <w:pPr>
                    <w:rPr>
                      <w:bCs/>
                      <w:sz w:val="22"/>
                      <w:szCs w:val="22"/>
                    </w:rPr>
                  </w:pPr>
                  <w:r>
                    <w:rPr>
                      <w:bCs/>
                      <w:sz w:val="22"/>
                      <w:szCs w:val="22"/>
                    </w:rPr>
                    <w:t>132</w:t>
                  </w:r>
                </w:p>
              </w:tc>
            </w:tr>
            <w:tr w:rsidR="00322ADB" w:rsidRPr="0037252E" w14:paraId="10F1B03D" w14:textId="77777777" w:rsidTr="00351228">
              <w:trPr>
                <w:trHeight w:val="702"/>
              </w:trPr>
              <w:tc>
                <w:tcPr>
                  <w:tcW w:w="1456" w:type="dxa"/>
                </w:tcPr>
                <w:p w14:paraId="518D153A" w14:textId="77777777" w:rsidR="00322ADB" w:rsidRPr="0037252E" w:rsidRDefault="00322ADB" w:rsidP="00322ADB">
                  <w:pPr>
                    <w:rPr>
                      <w:bCs/>
                      <w:sz w:val="22"/>
                      <w:szCs w:val="22"/>
                    </w:rPr>
                  </w:pPr>
                  <w:r w:rsidRPr="0037252E">
                    <w:rPr>
                      <w:bCs/>
                      <w:sz w:val="22"/>
                      <w:szCs w:val="22"/>
                    </w:rPr>
                    <w:t xml:space="preserve"> </w:t>
                  </w:r>
                </w:p>
                <w:p w14:paraId="2C744397" w14:textId="77777777" w:rsidR="00322ADB" w:rsidRPr="0037252E" w:rsidRDefault="00322ADB" w:rsidP="00322ADB">
                  <w:pPr>
                    <w:rPr>
                      <w:bCs/>
                      <w:sz w:val="22"/>
                      <w:szCs w:val="22"/>
                    </w:rPr>
                  </w:pPr>
                </w:p>
                <w:p w14:paraId="0351B274" w14:textId="77777777" w:rsidR="009328FF" w:rsidRPr="0037252E" w:rsidRDefault="009328FF" w:rsidP="00322ADB">
                  <w:pPr>
                    <w:rPr>
                      <w:bCs/>
                      <w:sz w:val="22"/>
                      <w:szCs w:val="22"/>
                    </w:rPr>
                  </w:pPr>
                </w:p>
              </w:tc>
              <w:tc>
                <w:tcPr>
                  <w:tcW w:w="0" w:type="auto"/>
                </w:tcPr>
                <w:p w14:paraId="7037C143" w14:textId="77777777" w:rsidR="00322ADB" w:rsidRPr="0037252E" w:rsidRDefault="00322ADB" w:rsidP="00322ADB">
                  <w:pPr>
                    <w:rPr>
                      <w:bCs/>
                      <w:sz w:val="22"/>
                      <w:szCs w:val="22"/>
                    </w:rPr>
                  </w:pPr>
                </w:p>
              </w:tc>
              <w:tc>
                <w:tcPr>
                  <w:tcW w:w="0" w:type="auto"/>
                </w:tcPr>
                <w:p w14:paraId="25FE1F3B" w14:textId="77777777" w:rsidR="00322ADB" w:rsidRPr="0037252E" w:rsidRDefault="00322ADB" w:rsidP="00322ADB">
                  <w:pPr>
                    <w:rPr>
                      <w:bCs/>
                      <w:sz w:val="22"/>
                      <w:szCs w:val="22"/>
                    </w:rPr>
                  </w:pPr>
                </w:p>
                <w:p w14:paraId="2100D69A" w14:textId="77777777" w:rsidR="009328FF" w:rsidRPr="0037252E" w:rsidRDefault="009328FF" w:rsidP="00322ADB">
                  <w:pPr>
                    <w:rPr>
                      <w:bCs/>
                      <w:sz w:val="22"/>
                      <w:szCs w:val="22"/>
                    </w:rPr>
                  </w:pPr>
                </w:p>
                <w:p w14:paraId="3835A651" w14:textId="77777777" w:rsidR="009328FF" w:rsidRPr="0037252E" w:rsidRDefault="009328FF" w:rsidP="00322ADB">
                  <w:pPr>
                    <w:rPr>
                      <w:bCs/>
                      <w:sz w:val="22"/>
                      <w:szCs w:val="22"/>
                    </w:rPr>
                  </w:pPr>
                </w:p>
                <w:p w14:paraId="7D3A3921" w14:textId="77777777" w:rsidR="009328FF" w:rsidRPr="0037252E" w:rsidRDefault="009328FF" w:rsidP="00322ADB">
                  <w:pPr>
                    <w:rPr>
                      <w:bCs/>
                      <w:sz w:val="22"/>
                      <w:szCs w:val="22"/>
                    </w:rPr>
                  </w:pPr>
                </w:p>
                <w:p w14:paraId="3DAEA0AC" w14:textId="77777777" w:rsidR="009328FF" w:rsidRPr="0037252E" w:rsidRDefault="009328FF" w:rsidP="00322ADB">
                  <w:pPr>
                    <w:rPr>
                      <w:bCs/>
                      <w:sz w:val="22"/>
                      <w:szCs w:val="22"/>
                    </w:rPr>
                  </w:pPr>
                </w:p>
                <w:p w14:paraId="6F56BFB9" w14:textId="77777777" w:rsidR="009328FF" w:rsidRPr="0037252E" w:rsidRDefault="009328FF" w:rsidP="00322ADB">
                  <w:pPr>
                    <w:rPr>
                      <w:bCs/>
                      <w:sz w:val="22"/>
                      <w:szCs w:val="22"/>
                    </w:rPr>
                  </w:pPr>
                </w:p>
              </w:tc>
              <w:tc>
                <w:tcPr>
                  <w:tcW w:w="0" w:type="auto"/>
                </w:tcPr>
                <w:p w14:paraId="6E0602DB" w14:textId="77777777" w:rsidR="00322ADB" w:rsidRPr="0037252E" w:rsidRDefault="00322ADB" w:rsidP="00322ADB">
                  <w:pPr>
                    <w:rPr>
                      <w:bCs/>
                      <w:sz w:val="22"/>
                      <w:szCs w:val="22"/>
                    </w:rPr>
                  </w:pPr>
                </w:p>
              </w:tc>
              <w:tc>
                <w:tcPr>
                  <w:tcW w:w="1261" w:type="dxa"/>
                </w:tcPr>
                <w:p w14:paraId="77A88610" w14:textId="77777777" w:rsidR="00322ADB" w:rsidRPr="0037252E" w:rsidRDefault="00322ADB" w:rsidP="00322ADB">
                  <w:pPr>
                    <w:rPr>
                      <w:bCs/>
                      <w:sz w:val="22"/>
                      <w:szCs w:val="22"/>
                    </w:rPr>
                  </w:pPr>
                </w:p>
              </w:tc>
              <w:tc>
                <w:tcPr>
                  <w:tcW w:w="1320" w:type="dxa"/>
                </w:tcPr>
                <w:p w14:paraId="172C136B" w14:textId="77777777" w:rsidR="00322ADB" w:rsidRPr="0037252E" w:rsidRDefault="00322ADB" w:rsidP="00322ADB">
                  <w:pPr>
                    <w:rPr>
                      <w:bCs/>
                      <w:sz w:val="22"/>
                      <w:szCs w:val="22"/>
                    </w:rPr>
                  </w:pPr>
                </w:p>
              </w:tc>
            </w:tr>
          </w:tbl>
          <w:p w14:paraId="6F666323" w14:textId="77777777" w:rsidR="00144B75" w:rsidRPr="0037252E" w:rsidRDefault="00144B75" w:rsidP="007516C5">
            <w:pPr>
              <w:rPr>
                <w:bCs/>
                <w:sz w:val="22"/>
                <w:szCs w:val="22"/>
              </w:rPr>
            </w:pPr>
          </w:p>
        </w:tc>
      </w:tr>
      <w:tr w:rsidR="009C5FD6" w:rsidRPr="0037252E" w14:paraId="1D1EE9E4" w14:textId="77777777" w:rsidTr="00E66566">
        <w:trPr>
          <w:cantSplit/>
          <w:trHeight w:val="244"/>
        </w:trPr>
        <w:tc>
          <w:tcPr>
            <w:tcW w:w="619" w:type="dxa"/>
            <w:shd w:val="clear" w:color="auto" w:fill="BFBFBF"/>
          </w:tcPr>
          <w:p w14:paraId="106CEAD9" w14:textId="5021CBD3" w:rsidR="006160E6" w:rsidRPr="0037252E" w:rsidRDefault="006160E6" w:rsidP="006160E6">
            <w:pPr>
              <w:rPr>
                <w:b/>
                <w:bCs/>
                <w:smallCaps/>
                <w:sz w:val="22"/>
                <w:szCs w:val="22"/>
              </w:rPr>
            </w:pPr>
          </w:p>
          <w:p w14:paraId="188D2866" w14:textId="77777777" w:rsidR="009C5FD6" w:rsidRPr="0037252E" w:rsidRDefault="009C5FD6" w:rsidP="00E02E4A">
            <w:pPr>
              <w:jc w:val="center"/>
              <w:rPr>
                <w:b/>
                <w:bCs/>
                <w:smallCaps/>
                <w:sz w:val="22"/>
                <w:szCs w:val="22"/>
              </w:rPr>
            </w:pPr>
            <w:r w:rsidRPr="0037252E">
              <w:rPr>
                <w:b/>
                <w:bCs/>
                <w:smallCaps/>
                <w:sz w:val="22"/>
                <w:szCs w:val="22"/>
              </w:rPr>
              <w:t>B.</w:t>
            </w:r>
          </w:p>
        </w:tc>
        <w:tc>
          <w:tcPr>
            <w:tcW w:w="10248" w:type="dxa"/>
            <w:shd w:val="clear" w:color="auto" w:fill="BFBFBF"/>
            <w:vAlign w:val="center"/>
          </w:tcPr>
          <w:p w14:paraId="7A53990F" w14:textId="77777777" w:rsidR="009C5FD6" w:rsidRPr="0037252E" w:rsidRDefault="009C5FD6" w:rsidP="00E02E4A">
            <w:pPr>
              <w:rPr>
                <w:b/>
                <w:sz w:val="22"/>
                <w:szCs w:val="22"/>
              </w:rPr>
            </w:pPr>
          </w:p>
          <w:p w14:paraId="7423C3A4" w14:textId="252A0C70" w:rsidR="009C5FD6" w:rsidRPr="0037252E" w:rsidRDefault="000F441B" w:rsidP="00E02E4A">
            <w:pPr>
              <w:rPr>
                <w:b/>
                <w:sz w:val="22"/>
                <w:szCs w:val="22"/>
              </w:rPr>
            </w:pPr>
            <w:r w:rsidRPr="000F441B">
              <w:rPr>
                <w:b/>
                <w:sz w:val="22"/>
                <w:szCs w:val="22"/>
              </w:rPr>
              <w:t>Plan de 5 años</w:t>
            </w:r>
            <w:proofErr w:type="gramStart"/>
            <w:r w:rsidRPr="000F441B">
              <w:rPr>
                <w:b/>
                <w:sz w:val="22"/>
                <w:szCs w:val="22"/>
              </w:rPr>
              <w:t>.</w:t>
            </w:r>
            <w:r w:rsidR="009C5FD6" w:rsidRPr="0037252E">
              <w:rPr>
                <w:b/>
                <w:sz w:val="22"/>
                <w:szCs w:val="22"/>
              </w:rPr>
              <w:t>.</w:t>
            </w:r>
            <w:proofErr w:type="gramEnd"/>
            <w:r w:rsidR="00B75E3B" w:rsidRPr="0037252E">
              <w:rPr>
                <w:b/>
                <w:sz w:val="22"/>
                <w:szCs w:val="22"/>
              </w:rPr>
              <w:t xml:space="preserve">  </w:t>
            </w:r>
            <w:r w:rsidRPr="000F441B">
              <w:rPr>
                <w:sz w:val="22"/>
                <w:szCs w:val="22"/>
              </w:rPr>
              <w:t>Requerido para todas las PHA que completan este formulario.</w:t>
            </w:r>
          </w:p>
          <w:p w14:paraId="1B1559B3" w14:textId="77777777" w:rsidR="009C5FD6" w:rsidRPr="0037252E" w:rsidRDefault="009C5FD6" w:rsidP="00E02E4A">
            <w:pPr>
              <w:rPr>
                <w:bCs/>
                <w:sz w:val="22"/>
                <w:szCs w:val="22"/>
              </w:rPr>
            </w:pPr>
          </w:p>
        </w:tc>
      </w:tr>
      <w:tr w:rsidR="009C5FD6" w:rsidRPr="0037252E" w14:paraId="3B80158B" w14:textId="77777777" w:rsidTr="00E66566">
        <w:trPr>
          <w:cantSplit/>
          <w:trHeight w:val="1007"/>
        </w:trPr>
        <w:tc>
          <w:tcPr>
            <w:tcW w:w="619" w:type="dxa"/>
          </w:tcPr>
          <w:p w14:paraId="45FF9CB4" w14:textId="77777777" w:rsidR="009C5FD6" w:rsidRPr="0037252E" w:rsidRDefault="009C5FD6" w:rsidP="00E02E4A">
            <w:pPr>
              <w:jc w:val="center"/>
              <w:rPr>
                <w:b/>
                <w:bCs/>
                <w:smallCaps/>
                <w:sz w:val="22"/>
                <w:szCs w:val="22"/>
              </w:rPr>
            </w:pPr>
          </w:p>
          <w:p w14:paraId="7A2B8D2A" w14:textId="77777777" w:rsidR="009C5FD6" w:rsidRPr="0037252E" w:rsidRDefault="009C5FD6" w:rsidP="00E02E4A">
            <w:pPr>
              <w:jc w:val="center"/>
              <w:rPr>
                <w:b/>
                <w:bCs/>
                <w:smallCaps/>
                <w:sz w:val="22"/>
                <w:szCs w:val="22"/>
              </w:rPr>
            </w:pPr>
            <w:r w:rsidRPr="0037252E">
              <w:rPr>
                <w:b/>
                <w:bCs/>
                <w:smallCaps/>
                <w:sz w:val="22"/>
                <w:szCs w:val="22"/>
              </w:rPr>
              <w:t>B.1</w:t>
            </w:r>
          </w:p>
        </w:tc>
        <w:tc>
          <w:tcPr>
            <w:tcW w:w="10248" w:type="dxa"/>
          </w:tcPr>
          <w:p w14:paraId="73D3740C" w14:textId="77777777" w:rsidR="006965E6" w:rsidRPr="0037252E" w:rsidRDefault="006965E6" w:rsidP="006965E6">
            <w:pPr>
              <w:rPr>
                <w:rStyle w:val="ptext-3"/>
                <w:b/>
                <w:color w:val="000000"/>
                <w:sz w:val="22"/>
                <w:szCs w:val="22"/>
              </w:rPr>
            </w:pPr>
          </w:p>
          <w:p w14:paraId="69ED8192" w14:textId="6CC41DBC" w:rsidR="00B53BF7" w:rsidRPr="0037252E" w:rsidRDefault="000F441B" w:rsidP="0042148C">
            <w:pPr>
              <w:rPr>
                <w:sz w:val="22"/>
                <w:szCs w:val="22"/>
              </w:rPr>
            </w:pPr>
            <w:r w:rsidRPr="000F441B">
              <w:rPr>
                <w:rStyle w:val="ptext-3"/>
                <w:b/>
                <w:color w:val="000000"/>
                <w:sz w:val="22"/>
                <w:szCs w:val="22"/>
              </w:rPr>
              <w:t>Misión.</w:t>
            </w:r>
            <w:r>
              <w:rPr>
                <w:rStyle w:val="ptext-3"/>
                <w:b/>
                <w:color w:val="000000"/>
                <w:sz w:val="22"/>
                <w:szCs w:val="22"/>
              </w:rPr>
              <w:t xml:space="preserve"> </w:t>
            </w:r>
            <w:r w:rsidRPr="000F441B">
              <w:rPr>
                <w:rStyle w:val="ptext-3"/>
                <w:color w:val="000000"/>
                <w:sz w:val="22"/>
                <w:szCs w:val="22"/>
              </w:rPr>
              <w:t>Declarar la misión de la PHA para atender las necesidades de las familias de bajos, muy bajos y extremadamente bajos ingresos en la jurisdicción de la PHA durante los próximos cinco años</w:t>
            </w:r>
            <w:r w:rsidR="009C5FD6" w:rsidRPr="0037252E">
              <w:rPr>
                <w:sz w:val="22"/>
                <w:szCs w:val="22"/>
              </w:rPr>
              <w:t>.</w:t>
            </w:r>
            <w:r w:rsidR="00715AEE" w:rsidRPr="0037252E">
              <w:rPr>
                <w:sz w:val="22"/>
                <w:szCs w:val="22"/>
              </w:rPr>
              <w:t xml:space="preserve">  </w:t>
            </w:r>
          </w:p>
          <w:p w14:paraId="1217F0DD" w14:textId="3DFA148F" w:rsidR="00BD6EB5" w:rsidRPr="0037252E" w:rsidRDefault="000F441B" w:rsidP="00344245">
            <w:pPr>
              <w:rPr>
                <w:b/>
                <w:sz w:val="22"/>
                <w:szCs w:val="22"/>
              </w:rPr>
            </w:pPr>
            <w:proofErr w:type="gramStart"/>
            <w:r w:rsidRPr="000F441B">
              <w:rPr>
                <w:b/>
                <w:sz w:val="22"/>
                <w:szCs w:val="22"/>
              </w:rPr>
              <w:t>mientras</w:t>
            </w:r>
            <w:proofErr w:type="gramEnd"/>
            <w:r w:rsidRPr="000F441B">
              <w:rPr>
                <w:b/>
                <w:sz w:val="22"/>
                <w:szCs w:val="22"/>
              </w:rPr>
              <w:t xml:space="preserve"> promueva la autosuficiencia y las oportunidades de movilidad ascendente para los residentes de nuestra comunidad desatendida.</w:t>
            </w:r>
          </w:p>
        </w:tc>
      </w:tr>
      <w:tr w:rsidR="003362CF" w:rsidRPr="0037252E" w14:paraId="1CD8B13D" w14:textId="77777777" w:rsidTr="00E66566">
        <w:trPr>
          <w:cantSplit/>
          <w:trHeight w:val="1160"/>
        </w:trPr>
        <w:tc>
          <w:tcPr>
            <w:tcW w:w="619" w:type="dxa"/>
          </w:tcPr>
          <w:p w14:paraId="0D1608EB" w14:textId="77777777" w:rsidR="003362CF" w:rsidRPr="0037252E" w:rsidRDefault="003362CF" w:rsidP="003362CF">
            <w:pPr>
              <w:rPr>
                <w:b/>
                <w:bCs/>
                <w:smallCaps/>
                <w:sz w:val="22"/>
                <w:szCs w:val="22"/>
              </w:rPr>
            </w:pPr>
          </w:p>
        </w:tc>
        <w:tc>
          <w:tcPr>
            <w:tcW w:w="10248" w:type="dxa"/>
          </w:tcPr>
          <w:p w14:paraId="2160E25C" w14:textId="77777777" w:rsidR="003362CF" w:rsidRPr="0037252E" w:rsidRDefault="003362CF" w:rsidP="00E02E4A">
            <w:pPr>
              <w:rPr>
                <w:rStyle w:val="ptext-3"/>
                <w:b/>
                <w:color w:val="000000"/>
                <w:sz w:val="22"/>
                <w:szCs w:val="22"/>
              </w:rPr>
            </w:pPr>
          </w:p>
        </w:tc>
      </w:tr>
      <w:tr w:rsidR="003362CF" w:rsidRPr="0037252E" w14:paraId="3690A27F" w14:textId="77777777" w:rsidTr="00E66566">
        <w:trPr>
          <w:cantSplit/>
          <w:trHeight w:val="1160"/>
        </w:trPr>
        <w:tc>
          <w:tcPr>
            <w:tcW w:w="619" w:type="dxa"/>
          </w:tcPr>
          <w:p w14:paraId="0B25FD68" w14:textId="77777777" w:rsidR="003362CF" w:rsidRPr="0037252E" w:rsidRDefault="003362CF" w:rsidP="003362CF">
            <w:pPr>
              <w:rPr>
                <w:b/>
                <w:bCs/>
                <w:smallCaps/>
                <w:sz w:val="22"/>
                <w:szCs w:val="22"/>
              </w:rPr>
            </w:pPr>
          </w:p>
        </w:tc>
        <w:tc>
          <w:tcPr>
            <w:tcW w:w="10248" w:type="dxa"/>
          </w:tcPr>
          <w:p w14:paraId="4B77309C" w14:textId="77777777" w:rsidR="003362CF" w:rsidRPr="0037252E" w:rsidRDefault="003362CF" w:rsidP="00E02E4A">
            <w:pPr>
              <w:rPr>
                <w:rStyle w:val="ptext-3"/>
                <w:b/>
                <w:color w:val="000000"/>
                <w:sz w:val="22"/>
                <w:szCs w:val="22"/>
              </w:rPr>
            </w:pPr>
          </w:p>
        </w:tc>
      </w:tr>
      <w:tr w:rsidR="009C5FD6" w:rsidRPr="0037252E" w14:paraId="5327C9E8" w14:textId="77777777" w:rsidTr="00E66566">
        <w:trPr>
          <w:cantSplit/>
          <w:trHeight w:val="1160"/>
        </w:trPr>
        <w:tc>
          <w:tcPr>
            <w:tcW w:w="619" w:type="dxa"/>
          </w:tcPr>
          <w:p w14:paraId="3BC7455F" w14:textId="77777777" w:rsidR="009C5FD6" w:rsidRPr="0037252E" w:rsidRDefault="009C5FD6" w:rsidP="003362CF">
            <w:pPr>
              <w:rPr>
                <w:b/>
                <w:bCs/>
                <w:smallCaps/>
                <w:sz w:val="22"/>
                <w:szCs w:val="22"/>
              </w:rPr>
            </w:pPr>
          </w:p>
          <w:p w14:paraId="66BD191D" w14:textId="77777777" w:rsidR="009C5FD6" w:rsidRPr="0037252E" w:rsidRDefault="009C5FD6" w:rsidP="00E02E4A">
            <w:pPr>
              <w:jc w:val="center"/>
              <w:rPr>
                <w:b/>
                <w:bCs/>
                <w:smallCaps/>
                <w:sz w:val="22"/>
                <w:szCs w:val="22"/>
              </w:rPr>
            </w:pPr>
            <w:r w:rsidRPr="0037252E">
              <w:rPr>
                <w:b/>
                <w:bCs/>
                <w:smallCaps/>
                <w:sz w:val="22"/>
                <w:szCs w:val="22"/>
              </w:rPr>
              <w:t>B.2</w:t>
            </w:r>
          </w:p>
        </w:tc>
        <w:tc>
          <w:tcPr>
            <w:tcW w:w="10248" w:type="dxa"/>
          </w:tcPr>
          <w:p w14:paraId="7F7951EF" w14:textId="77777777" w:rsidR="006965E6" w:rsidRPr="0037252E" w:rsidRDefault="006965E6" w:rsidP="00E02E4A">
            <w:pPr>
              <w:rPr>
                <w:rStyle w:val="ptext-3"/>
                <w:b/>
                <w:color w:val="000000"/>
                <w:sz w:val="22"/>
                <w:szCs w:val="22"/>
              </w:rPr>
            </w:pPr>
          </w:p>
          <w:p w14:paraId="713CDD76" w14:textId="3506F050" w:rsidR="00B53BF7" w:rsidRPr="000F441B" w:rsidRDefault="000F441B" w:rsidP="0042148C">
            <w:pPr>
              <w:rPr>
                <w:rStyle w:val="ptext-3"/>
                <w:color w:val="000000"/>
                <w:sz w:val="22"/>
                <w:szCs w:val="22"/>
              </w:rPr>
            </w:pPr>
            <w:r>
              <w:rPr>
                <w:rStyle w:val="ptext-3"/>
                <w:b/>
                <w:color w:val="000000"/>
                <w:sz w:val="22"/>
                <w:szCs w:val="22"/>
              </w:rPr>
              <w:t>Metas y O</w:t>
            </w:r>
            <w:r w:rsidRPr="000F441B">
              <w:rPr>
                <w:rStyle w:val="ptext-3"/>
                <w:b/>
                <w:color w:val="000000"/>
                <w:sz w:val="22"/>
                <w:szCs w:val="22"/>
              </w:rPr>
              <w:t xml:space="preserve">bjetivos. </w:t>
            </w:r>
            <w:r w:rsidRPr="000F441B">
              <w:rPr>
                <w:rStyle w:val="ptext-3"/>
                <w:color w:val="000000"/>
                <w:sz w:val="22"/>
                <w:szCs w:val="22"/>
              </w:rPr>
              <w:t>Identificar las metas y objetivos cuantificables de la PHA que permitirán que la PHA satisfaga las necesidades de las familias de ingresos bajos, muy bajos y extremadamente bajos durante los próximos cinco años.</w:t>
            </w:r>
          </w:p>
          <w:p w14:paraId="42DF21EC" w14:textId="5E46A2F5" w:rsidR="00CD6839" w:rsidRDefault="00CD6839" w:rsidP="00CD6839">
            <w:pPr>
              <w:pStyle w:val="ListParagraph"/>
              <w:numPr>
                <w:ilvl w:val="0"/>
                <w:numId w:val="23"/>
              </w:numPr>
              <w:rPr>
                <w:color w:val="0E101A"/>
                <w:sz w:val="22"/>
                <w:szCs w:val="22"/>
              </w:rPr>
            </w:pPr>
            <w:r w:rsidRPr="00CD6839">
              <w:rPr>
                <w:b/>
                <w:bCs/>
                <w:sz w:val="22"/>
                <w:szCs w:val="22"/>
              </w:rPr>
              <w:t>Aumentar la disponibilidad de viviendas asequibles sostenibles</w:t>
            </w:r>
            <w:r w:rsidR="005C2172" w:rsidRPr="0037252E">
              <w:rPr>
                <w:bCs/>
                <w:sz w:val="22"/>
                <w:szCs w:val="22"/>
              </w:rPr>
              <w:t>.</w:t>
            </w:r>
            <w:r w:rsidR="005C2172" w:rsidRPr="0037252E">
              <w:rPr>
                <w:sz w:val="22"/>
                <w:szCs w:val="22"/>
              </w:rPr>
              <w:t xml:space="preserve"> </w:t>
            </w:r>
            <w:r w:rsidRPr="00CD6839">
              <w:rPr>
                <w:color w:val="0E101A"/>
                <w:sz w:val="22"/>
                <w:szCs w:val="22"/>
              </w:rPr>
              <w:t xml:space="preserve">Durante los próximos cinco años, STHA se esfuerza por aumentar las opciones de vivienda asequible para los residentes de STHA. Para lograr esto, STHA explorará los estándares de pago actuales en comparación con las tasas de mercado y los estándares de pago que ofrecen las PHA en la comunidad inmediata. Además, a través de </w:t>
            </w:r>
            <w:proofErr w:type="gramStart"/>
            <w:r w:rsidRPr="00CD6839">
              <w:rPr>
                <w:color w:val="0E101A"/>
                <w:sz w:val="22"/>
                <w:szCs w:val="22"/>
              </w:rPr>
              <w:t>un</w:t>
            </w:r>
            <w:proofErr w:type="gramEnd"/>
            <w:r w:rsidRPr="00CD6839">
              <w:rPr>
                <w:color w:val="0E101A"/>
                <w:sz w:val="22"/>
                <w:szCs w:val="22"/>
              </w:rPr>
              <w:t xml:space="preserve"> IGA, STHA explorará oportunidades para ampliar sus límites para incluir la ciudad de Tucson y viceversa. Explore las eficiencias energéticas dentro </w:t>
            </w:r>
            <w:proofErr w:type="gramStart"/>
            <w:r w:rsidRPr="00CD6839">
              <w:rPr>
                <w:color w:val="0E101A"/>
                <w:sz w:val="22"/>
                <w:szCs w:val="22"/>
              </w:rPr>
              <w:t>del</w:t>
            </w:r>
            <w:proofErr w:type="gramEnd"/>
            <w:r w:rsidRPr="00CD6839">
              <w:rPr>
                <w:color w:val="0E101A"/>
                <w:sz w:val="22"/>
                <w:szCs w:val="22"/>
              </w:rPr>
              <w:t xml:space="preserve"> complejo de la autoridad de vivienda y los sitios dispersos que tengan la viabilidad de estacionamiento cubierto con energía solar para proporcionar energía a las unidades en el sitio. STHA trabajará con los consorcios de HUD y el estado de Arizona para garantizar que la ciudad de South Tucson obtenga la parte que le corresponde de las oportunidades de financiamiento federal que existen para nuevas oportunidades de alquiler y propiedad de vivienda, incluidos los fondos reservados proyectados para comunidades desatendidas.</w:t>
            </w:r>
          </w:p>
          <w:p w14:paraId="33B80108" w14:textId="61964E4C" w:rsidR="00971262" w:rsidRPr="0037252E" w:rsidRDefault="00CD6839" w:rsidP="00E66566">
            <w:pPr>
              <w:pStyle w:val="ListParagraph"/>
              <w:numPr>
                <w:ilvl w:val="0"/>
                <w:numId w:val="23"/>
              </w:numPr>
              <w:rPr>
                <w:color w:val="0E101A"/>
                <w:sz w:val="22"/>
                <w:szCs w:val="22"/>
              </w:rPr>
            </w:pPr>
            <w:r w:rsidRPr="00CD6839">
              <w:rPr>
                <w:b/>
                <w:sz w:val="22"/>
                <w:szCs w:val="22"/>
              </w:rPr>
              <w:t>Servicios para residentes, Junta asesora para residentes (RAB</w:t>
            </w:r>
            <w:r w:rsidR="00403F22" w:rsidRPr="0037252E">
              <w:rPr>
                <w:b/>
                <w:sz w:val="22"/>
                <w:szCs w:val="22"/>
              </w:rPr>
              <w:t>)</w:t>
            </w:r>
            <w:r w:rsidR="00971262" w:rsidRPr="0037252E">
              <w:rPr>
                <w:b/>
                <w:sz w:val="22"/>
                <w:szCs w:val="22"/>
              </w:rPr>
              <w:t>.</w:t>
            </w:r>
            <w:r w:rsidR="00971262" w:rsidRPr="0037252E">
              <w:rPr>
                <w:color w:val="0E101A"/>
                <w:sz w:val="22"/>
                <w:szCs w:val="22"/>
              </w:rPr>
              <w:t xml:space="preserve"> </w:t>
            </w:r>
            <w:r w:rsidR="00E66566" w:rsidRPr="00E66566">
              <w:rPr>
                <w:color w:val="0E101A"/>
                <w:sz w:val="22"/>
                <w:szCs w:val="22"/>
              </w:rPr>
              <w:t xml:space="preserve">STHA reconoce que los servicios y oportunidades adicionales son vitales para el éxito a largo plazo de sus residentes para lograr la autosuficiencia y la movilidad ascendente. Como tal, STHA trabajará para fortalecer la participación de sus residentes colaborando con el CoC local, Tucson Pima Collaboration to End Homelessness (TPCH), aprovechará los recursos y oportunidades de la comunidad y explorará las subvenciones de FSS, Family Unification y ROSS. El personal de STHA y dos estudiantes graduados de la Facultad de Salud Pública de la UA coordinaron una encuesta con los residentes en la primavera de 2021. Los resultados </w:t>
            </w:r>
            <w:proofErr w:type="gramStart"/>
            <w:r w:rsidR="00E66566" w:rsidRPr="00E66566">
              <w:rPr>
                <w:color w:val="0E101A"/>
                <w:sz w:val="22"/>
                <w:szCs w:val="22"/>
              </w:rPr>
              <w:t>del</w:t>
            </w:r>
            <w:proofErr w:type="gramEnd"/>
            <w:r w:rsidR="00E66566" w:rsidRPr="00E66566">
              <w:rPr>
                <w:color w:val="0E101A"/>
                <w:sz w:val="22"/>
                <w:szCs w:val="22"/>
              </w:rPr>
              <w:t xml:space="preserve"> estudio determinaron que la mejora de la comunicación y el empoderamiento son una prioridad para los residentes. STHA se siente alentada por la voluntad de los residentes de involucrarse y participar en la mejora de STHA y prevé establecer una Junta Asesora de Residentes sostenible y que funcione bien para mejorar aún más la comunicación y el empoderamiento de los residentes. La creación de </w:t>
            </w:r>
            <w:proofErr w:type="gramStart"/>
            <w:r w:rsidR="00E66566" w:rsidRPr="00E66566">
              <w:rPr>
                <w:color w:val="0E101A"/>
                <w:sz w:val="22"/>
                <w:szCs w:val="22"/>
              </w:rPr>
              <w:t>un</w:t>
            </w:r>
            <w:proofErr w:type="gramEnd"/>
            <w:r w:rsidR="00E66566" w:rsidRPr="00E66566">
              <w:rPr>
                <w:color w:val="0E101A"/>
                <w:sz w:val="22"/>
                <w:szCs w:val="22"/>
              </w:rPr>
              <w:t xml:space="preserve"> RAB sólido garantizará que los residentes seleccionen un representante calificado para servir en la Comisión de Vivienda del Sur de Tucson</w:t>
            </w:r>
            <w:r w:rsidR="00971262" w:rsidRPr="0037252E">
              <w:rPr>
                <w:color w:val="0E101A"/>
                <w:sz w:val="22"/>
                <w:szCs w:val="22"/>
              </w:rPr>
              <w:t>.   </w:t>
            </w:r>
          </w:p>
          <w:p w14:paraId="7A233D81" w14:textId="77777777" w:rsidR="000908AB" w:rsidRPr="000908AB" w:rsidRDefault="00E66566" w:rsidP="000908AB">
            <w:pPr>
              <w:pStyle w:val="NormalWeb"/>
              <w:numPr>
                <w:ilvl w:val="0"/>
                <w:numId w:val="23"/>
              </w:numPr>
              <w:rPr>
                <w:color w:val="0E101A"/>
                <w:sz w:val="22"/>
                <w:szCs w:val="22"/>
              </w:rPr>
            </w:pPr>
            <w:r w:rsidRPr="00E66566">
              <w:rPr>
                <w:rStyle w:val="Strong"/>
                <w:color w:val="0E101A"/>
                <w:sz w:val="22"/>
                <w:szCs w:val="22"/>
              </w:rPr>
              <w:t xml:space="preserve">Explorar y considerar reparaciones </w:t>
            </w:r>
            <w:r>
              <w:rPr>
                <w:rStyle w:val="Strong"/>
                <w:color w:val="0E101A"/>
                <w:sz w:val="22"/>
                <w:szCs w:val="22"/>
              </w:rPr>
              <w:t>mayors/</w:t>
            </w:r>
            <w:r w:rsidRPr="00E66566">
              <w:rPr>
                <w:rStyle w:val="Strong"/>
                <w:color w:val="0E101A"/>
                <w:sz w:val="22"/>
                <w:szCs w:val="22"/>
              </w:rPr>
              <w:t>reemplazo</w:t>
            </w:r>
            <w:r>
              <w:rPr>
                <w:rStyle w:val="Strong"/>
                <w:color w:val="0E101A"/>
                <w:sz w:val="22"/>
                <w:szCs w:val="22"/>
              </w:rPr>
              <w:t>/modernización/</w:t>
            </w:r>
            <w:r w:rsidRPr="00E66566">
              <w:rPr>
                <w:rStyle w:val="Strong"/>
                <w:color w:val="0E101A"/>
                <w:sz w:val="22"/>
                <w:szCs w:val="22"/>
              </w:rPr>
              <w:t>reposicionamiento.</w:t>
            </w:r>
            <w:r w:rsidR="000908AB">
              <w:rPr>
                <w:rStyle w:val="Strong"/>
                <w:color w:val="0E101A"/>
                <w:sz w:val="22"/>
                <w:szCs w:val="22"/>
              </w:rPr>
              <w:t xml:space="preserve"> </w:t>
            </w:r>
            <w:r w:rsidR="00430F2F" w:rsidRPr="0037252E">
              <w:rPr>
                <w:color w:val="0E101A"/>
                <w:sz w:val="22"/>
                <w:szCs w:val="22"/>
              </w:rPr>
              <w:t xml:space="preserve"> </w:t>
            </w:r>
            <w:r w:rsidR="000908AB" w:rsidRPr="000908AB">
              <w:rPr>
                <w:color w:val="0E101A"/>
                <w:sz w:val="22"/>
                <w:szCs w:val="22"/>
              </w:rPr>
              <w:t xml:space="preserve">Las propiedades de STHA en el sitio construidas a fines de la década de 1960 y principios de la de 1970 requieren reparaciones y actualizaciones extensas debido a los muchos años de mantenimiento diferido. Actualmente, STHA tiene seis unidades vacantes fuera de línea para la mitigación de </w:t>
            </w:r>
            <w:proofErr w:type="gramStart"/>
            <w:r w:rsidR="000908AB" w:rsidRPr="000908AB">
              <w:rPr>
                <w:color w:val="0E101A"/>
                <w:sz w:val="22"/>
                <w:szCs w:val="22"/>
              </w:rPr>
              <w:t>moho</w:t>
            </w:r>
            <w:proofErr w:type="gramEnd"/>
            <w:r w:rsidR="000908AB" w:rsidRPr="000908AB">
              <w:rPr>
                <w:color w:val="0E101A"/>
                <w:sz w:val="22"/>
                <w:szCs w:val="22"/>
              </w:rPr>
              <w:t xml:space="preserve"> de emergencia y otros reemplazos y reparaciones en la categoría de Modernización. Los incendios recientes </w:t>
            </w:r>
            <w:proofErr w:type="gramStart"/>
            <w:r w:rsidR="000908AB" w:rsidRPr="000908AB">
              <w:rPr>
                <w:color w:val="0E101A"/>
                <w:sz w:val="22"/>
                <w:szCs w:val="22"/>
              </w:rPr>
              <w:t>han</w:t>
            </w:r>
            <w:proofErr w:type="gramEnd"/>
            <w:r w:rsidR="000908AB" w:rsidRPr="000908AB">
              <w:rPr>
                <w:color w:val="0E101A"/>
                <w:sz w:val="22"/>
                <w:szCs w:val="22"/>
              </w:rPr>
              <w:t xml:space="preserve"> afectado a diez unidades adicionales bajo la categoría de accidentes y pérdidas, lo que requiere una restauración sustancial. STHA está en el proceso de desarrollar </w:t>
            </w:r>
            <w:proofErr w:type="gramStart"/>
            <w:r w:rsidR="000908AB" w:rsidRPr="000908AB">
              <w:rPr>
                <w:color w:val="0E101A"/>
                <w:sz w:val="22"/>
                <w:szCs w:val="22"/>
              </w:rPr>
              <w:t>un</w:t>
            </w:r>
            <w:proofErr w:type="gramEnd"/>
            <w:r w:rsidR="000908AB" w:rsidRPr="000908AB">
              <w:rPr>
                <w:color w:val="0E101A"/>
                <w:sz w:val="22"/>
                <w:szCs w:val="22"/>
              </w:rPr>
              <w:t xml:space="preserve"> plan para lograr que la PHA cumpla plenamente con UFAS de acuerdo con 24 CFR parte 8. STHA llevará a cabo una evaluación de necesidades y </w:t>
            </w:r>
            <w:proofErr w:type="gramStart"/>
            <w:r w:rsidR="000908AB" w:rsidRPr="000908AB">
              <w:rPr>
                <w:color w:val="0E101A"/>
                <w:sz w:val="22"/>
                <w:szCs w:val="22"/>
              </w:rPr>
              <w:t>un</w:t>
            </w:r>
            <w:proofErr w:type="gramEnd"/>
            <w:r w:rsidR="000908AB" w:rsidRPr="000908AB">
              <w:rPr>
                <w:color w:val="0E101A"/>
                <w:sz w:val="22"/>
                <w:szCs w:val="22"/>
              </w:rPr>
              <w:t xml:space="preserve"> plan de transición para determinar si el 10 % requerido actual o más es suficiente en función de las necesidades de los residentes. . La PHA ha designado unidades para discapacitados construidas en 1972 que requieren actualización para cumplir plenamente con UFAS. La PHA evaluará y completará las listas de verificación para identificar la ubicación y la combinación de dormitorios de las unidades adicionales necesarias. La condición de las unidades ubicadas en el sitio de vivienda colectiva ha llevado a evaluar si la obsolescencia física de estas propiedades es curable utilizando fondos </w:t>
            </w:r>
            <w:proofErr w:type="gramStart"/>
            <w:r w:rsidR="000908AB" w:rsidRPr="000908AB">
              <w:rPr>
                <w:color w:val="0E101A"/>
                <w:sz w:val="22"/>
                <w:szCs w:val="22"/>
              </w:rPr>
              <w:t>del</w:t>
            </w:r>
            <w:proofErr w:type="gramEnd"/>
            <w:r w:rsidR="000908AB" w:rsidRPr="000908AB">
              <w:rPr>
                <w:color w:val="0E101A"/>
                <w:sz w:val="22"/>
                <w:szCs w:val="22"/>
              </w:rPr>
              <w:t xml:space="preserve"> Programa de Fondo de Capital.</w:t>
            </w:r>
          </w:p>
          <w:p w14:paraId="2BF58865" w14:textId="77777777" w:rsidR="000908AB" w:rsidRDefault="000908AB" w:rsidP="000908AB">
            <w:pPr>
              <w:pStyle w:val="NormalWeb"/>
              <w:numPr>
                <w:ilvl w:val="0"/>
                <w:numId w:val="23"/>
              </w:numPr>
              <w:spacing w:before="0" w:beforeAutospacing="0" w:after="0" w:afterAutospacing="0"/>
              <w:rPr>
                <w:color w:val="0E101A"/>
                <w:sz w:val="22"/>
                <w:szCs w:val="22"/>
              </w:rPr>
            </w:pPr>
            <w:r w:rsidRPr="000908AB">
              <w:rPr>
                <w:color w:val="0E101A"/>
                <w:sz w:val="22"/>
                <w:szCs w:val="22"/>
              </w:rPr>
              <w:t xml:space="preserve">La STHA estudiará posibles reposicionamientos, demoliciones y/o disposición </w:t>
            </w:r>
            <w:proofErr w:type="gramStart"/>
            <w:r w:rsidRPr="000908AB">
              <w:rPr>
                <w:color w:val="0E101A"/>
                <w:sz w:val="22"/>
                <w:szCs w:val="22"/>
              </w:rPr>
              <w:t>como</w:t>
            </w:r>
            <w:proofErr w:type="gramEnd"/>
            <w:r w:rsidRPr="000908AB">
              <w:rPr>
                <w:color w:val="0E101A"/>
                <w:sz w:val="22"/>
                <w:szCs w:val="22"/>
              </w:rPr>
              <w:t xml:space="preserve"> otras posibles soluciones. Si bien STHA está considerando estas opciones, los planes de reparación y modernización que utilizan fondos de CFP para mantener las unidades habitables continuarán avanzando. STHA hará esto abordando todas las reparaciones de emergencia y otras prioridades de mantenimiento de manera oportuna y necesaria para mantener todas las unidades habitables seguras, decentes e higiénicas.</w:t>
            </w:r>
          </w:p>
          <w:p w14:paraId="59CD0AA4" w14:textId="77777777" w:rsidR="000908AB" w:rsidRDefault="000908AB" w:rsidP="000908AB">
            <w:pPr>
              <w:pStyle w:val="NormalWeb"/>
              <w:spacing w:before="0" w:beforeAutospacing="0" w:after="0" w:afterAutospacing="0"/>
              <w:ind w:left="765"/>
              <w:rPr>
                <w:color w:val="0E101A"/>
                <w:sz w:val="22"/>
                <w:szCs w:val="22"/>
              </w:rPr>
            </w:pPr>
          </w:p>
          <w:p w14:paraId="2A1E23B9" w14:textId="77777777" w:rsidR="000908AB" w:rsidRDefault="000908AB" w:rsidP="000908AB">
            <w:pPr>
              <w:pStyle w:val="NormalWeb"/>
              <w:spacing w:before="0" w:beforeAutospacing="0" w:after="0" w:afterAutospacing="0"/>
              <w:ind w:left="765"/>
              <w:rPr>
                <w:color w:val="0E101A"/>
                <w:sz w:val="22"/>
                <w:szCs w:val="22"/>
              </w:rPr>
            </w:pPr>
          </w:p>
          <w:p w14:paraId="614D4A7E" w14:textId="77777777" w:rsidR="000908AB" w:rsidRDefault="000908AB" w:rsidP="000908AB">
            <w:pPr>
              <w:pStyle w:val="NormalWeb"/>
              <w:spacing w:before="0" w:beforeAutospacing="0" w:after="0" w:afterAutospacing="0"/>
              <w:ind w:left="765"/>
              <w:rPr>
                <w:color w:val="0E101A"/>
                <w:sz w:val="22"/>
                <w:szCs w:val="22"/>
              </w:rPr>
            </w:pPr>
          </w:p>
          <w:p w14:paraId="08DD7898" w14:textId="77777777" w:rsidR="000908AB" w:rsidRPr="000908AB" w:rsidRDefault="000908AB" w:rsidP="00104069">
            <w:pPr>
              <w:pStyle w:val="NormalWeb"/>
              <w:numPr>
                <w:ilvl w:val="0"/>
                <w:numId w:val="23"/>
              </w:numPr>
              <w:rPr>
                <w:rFonts w:eastAsiaTheme="minorHAnsi"/>
                <w:sz w:val="22"/>
                <w:szCs w:val="22"/>
              </w:rPr>
            </w:pPr>
            <w:r w:rsidRPr="000908AB">
              <w:rPr>
                <w:rStyle w:val="Strong"/>
                <w:color w:val="0E101A"/>
                <w:sz w:val="22"/>
                <w:szCs w:val="22"/>
              </w:rPr>
              <w:lastRenderedPageBreak/>
              <w:t xml:space="preserve">Ampliar el </w:t>
            </w:r>
            <w:proofErr w:type="gramStart"/>
            <w:r w:rsidRPr="000908AB">
              <w:rPr>
                <w:rStyle w:val="Strong"/>
                <w:color w:val="0E101A"/>
                <w:sz w:val="22"/>
                <w:szCs w:val="22"/>
              </w:rPr>
              <w:t>Programa</w:t>
            </w:r>
            <w:proofErr w:type="gramEnd"/>
            <w:r w:rsidRPr="000908AB">
              <w:rPr>
                <w:rStyle w:val="Strong"/>
                <w:color w:val="0E101A"/>
                <w:sz w:val="22"/>
                <w:szCs w:val="22"/>
              </w:rPr>
              <w:t xml:space="preserve"> de Vales de Vivienda VASH y Vales Basados en Proyectos (PBV's).  </w:t>
            </w:r>
            <w:r w:rsidRPr="000908AB">
              <w:rPr>
                <w:color w:val="0E101A"/>
                <w:sz w:val="22"/>
                <w:szCs w:val="22"/>
              </w:rPr>
              <w:t xml:space="preserve">La ciudad de South Tucson está experimentando </w:t>
            </w:r>
            <w:proofErr w:type="gramStart"/>
            <w:r w:rsidRPr="000908AB">
              <w:rPr>
                <w:color w:val="0E101A"/>
                <w:sz w:val="22"/>
                <w:szCs w:val="22"/>
              </w:rPr>
              <w:t>un</w:t>
            </w:r>
            <w:proofErr w:type="gramEnd"/>
            <w:r w:rsidRPr="000908AB">
              <w:rPr>
                <w:color w:val="0E101A"/>
                <w:sz w:val="22"/>
                <w:szCs w:val="22"/>
              </w:rPr>
              <w:t xml:space="preserve"> aumento en las tarifas de alquiler y el bajo inventario de viviendas, lo que crea una falta de viviendas asequibles. La ubicación de STHA está cerca </w:t>
            </w:r>
            <w:proofErr w:type="gramStart"/>
            <w:r w:rsidRPr="000908AB">
              <w:rPr>
                <w:color w:val="0E101A"/>
                <w:sz w:val="22"/>
                <w:szCs w:val="22"/>
              </w:rPr>
              <w:t>del</w:t>
            </w:r>
            <w:proofErr w:type="gramEnd"/>
            <w:r w:rsidRPr="000908AB">
              <w:rPr>
                <w:color w:val="0E101A"/>
                <w:sz w:val="22"/>
                <w:szCs w:val="22"/>
              </w:rPr>
              <w:t xml:space="preserve"> Centro Regional VA y administra varios titulares de cupones VASH a través de transferencias para la Autoridad de Vivienda Pública de la Ciudad de Tucson. Actualmente, STHA no tiene </w:t>
            </w:r>
            <w:proofErr w:type="gramStart"/>
            <w:r w:rsidRPr="000908AB">
              <w:rPr>
                <w:color w:val="0E101A"/>
                <w:sz w:val="22"/>
                <w:szCs w:val="22"/>
              </w:rPr>
              <w:t>un</w:t>
            </w:r>
            <w:proofErr w:type="gramEnd"/>
            <w:r w:rsidRPr="000908AB">
              <w:rPr>
                <w:color w:val="0E101A"/>
                <w:sz w:val="22"/>
                <w:szCs w:val="22"/>
              </w:rPr>
              <w:t xml:space="preserve"> programa VASH, pero planea iniciar un programa de vales VASH cuando se presente la oportunidad. El programa de vales VASH aumentará su servicio a los veteranos y sus familias y fortalecerá la conexión actualmente establecida con VA, ubicada dentro de 1.6 millas de las oficinas de STHA.</w:t>
            </w:r>
            <w:r w:rsidRPr="000908AB">
              <w:rPr>
                <w:color w:val="0E101A"/>
                <w:sz w:val="22"/>
                <w:szCs w:val="22"/>
              </w:rPr>
              <w:t xml:space="preserve"> </w:t>
            </w:r>
            <w:r w:rsidRPr="000908AB">
              <w:rPr>
                <w:color w:val="0E101A"/>
                <w:sz w:val="22"/>
                <w:szCs w:val="22"/>
              </w:rPr>
              <w:t xml:space="preserve">Los desarrolladores de viviendas están especulando sobre futuros desarrollos de viviendas en el área y se </w:t>
            </w:r>
            <w:proofErr w:type="gramStart"/>
            <w:r w:rsidRPr="000908AB">
              <w:rPr>
                <w:color w:val="0E101A"/>
                <w:sz w:val="22"/>
                <w:szCs w:val="22"/>
              </w:rPr>
              <w:t>han</w:t>
            </w:r>
            <w:proofErr w:type="gramEnd"/>
            <w:r w:rsidRPr="000908AB">
              <w:rPr>
                <w:color w:val="0E101A"/>
                <w:sz w:val="22"/>
                <w:szCs w:val="22"/>
              </w:rPr>
              <w:t xml:space="preserve"> comunicado para discutir la disponibilidad de PBV. El plan de STHA es expandir HVP mediante la creación de contactos con propietarios y trabajar en una Solicitud de propuesta para un porcentaje limitado de HCV para PBV.</w:t>
            </w:r>
          </w:p>
          <w:p w14:paraId="23238648" w14:textId="77777777" w:rsidR="000908AB" w:rsidRPr="000908AB" w:rsidRDefault="000908AB" w:rsidP="000908AB">
            <w:pPr>
              <w:pStyle w:val="NormalWeb"/>
              <w:numPr>
                <w:ilvl w:val="0"/>
                <w:numId w:val="23"/>
              </w:numPr>
              <w:spacing w:before="0" w:beforeAutospacing="0" w:after="0" w:afterAutospacing="0"/>
              <w:rPr>
                <w:b/>
                <w:color w:val="0E101A"/>
                <w:sz w:val="22"/>
                <w:szCs w:val="22"/>
              </w:rPr>
            </w:pPr>
            <w:r w:rsidRPr="000908AB">
              <w:rPr>
                <w:b/>
                <w:bCs/>
                <w:sz w:val="22"/>
                <w:szCs w:val="22"/>
              </w:rPr>
              <w:t>Continuar monitoreando y mejorando los Temas de Seguridad y Crimen.</w:t>
            </w:r>
            <w:r>
              <w:rPr>
                <w:b/>
                <w:bCs/>
                <w:sz w:val="22"/>
                <w:szCs w:val="22"/>
              </w:rPr>
              <w:t xml:space="preserve">  </w:t>
            </w:r>
            <w:r w:rsidRPr="000908AB">
              <w:rPr>
                <w:sz w:val="22"/>
                <w:szCs w:val="22"/>
              </w:rPr>
              <w:t xml:space="preserve">La ciudad de South Tucson es </w:t>
            </w:r>
            <w:proofErr w:type="gramStart"/>
            <w:r w:rsidRPr="000908AB">
              <w:rPr>
                <w:sz w:val="22"/>
                <w:szCs w:val="22"/>
              </w:rPr>
              <w:t>un</w:t>
            </w:r>
            <w:proofErr w:type="gramEnd"/>
            <w:r w:rsidRPr="000908AB">
              <w:rPr>
                <w:sz w:val="22"/>
                <w:szCs w:val="22"/>
              </w:rPr>
              <w:t xml:space="preserve"> área de alta pobreza con recursos limitados para la seguridad pública. STHA realizará las mejoras necesarias para reducir y eliminar las llamadas de emergencia innecesarias manteniéndose constante en el mantenimiento preventivo de los elementos de disuasión de seguridad y abordando de inmediato los problemas de reparación de seguridad. Una prioridad será reparar o reemplazar las puertas y cerraduras actuales alrededor </w:t>
            </w:r>
            <w:proofErr w:type="gramStart"/>
            <w:r w:rsidRPr="000908AB">
              <w:rPr>
                <w:sz w:val="22"/>
                <w:szCs w:val="22"/>
              </w:rPr>
              <w:t>del</w:t>
            </w:r>
            <w:proofErr w:type="gramEnd"/>
            <w:r w:rsidRPr="000908AB">
              <w:rPr>
                <w:sz w:val="22"/>
                <w:szCs w:val="22"/>
              </w:rPr>
              <w:t xml:space="preserve"> recinto de la cerca, colocando estratégicamente cámaras e iluminación adicionales en áreas de alta criminalidad y estableciendo un programa de vigilancia vecinal dentro del complejo de nuestras unidades de sitios dispersos. La STHA también cambiará su unidad de oficiales de una unidad de sitio disperso a 1713 S 3rd Avenue Unit C38, que es una unidad de dos habitaciones en nuestra sección 25-1 Family en el sitio de nuestro complejo de unidades múltiples en el sitio. STHA hará cumplir plenamente sus reglas y políticas sobre todas las infracciones conocidas para proteger a los residentes y sus familias. STHA está colaborando con socios de la comunidad y residentes para mejorar el paisaje y el espacio al aire libre, que incluye </w:t>
            </w:r>
            <w:proofErr w:type="gramStart"/>
            <w:r w:rsidRPr="000908AB">
              <w:rPr>
                <w:sz w:val="22"/>
                <w:szCs w:val="22"/>
              </w:rPr>
              <w:t>un</w:t>
            </w:r>
            <w:proofErr w:type="gramEnd"/>
            <w:r w:rsidRPr="000908AB">
              <w:rPr>
                <w:sz w:val="22"/>
                <w:szCs w:val="22"/>
              </w:rPr>
              <w:t xml:space="preserve"> área de parque para perros y senderos peatonales seguros para fomentar las actividades de salud y bienestar al aire libre.</w:t>
            </w:r>
          </w:p>
          <w:p w14:paraId="1C825768" w14:textId="77777777" w:rsidR="00407743" w:rsidRPr="00407743" w:rsidRDefault="000908AB" w:rsidP="00407743">
            <w:pPr>
              <w:pStyle w:val="NormalWeb"/>
              <w:numPr>
                <w:ilvl w:val="0"/>
                <w:numId w:val="23"/>
              </w:numPr>
              <w:spacing w:before="0" w:beforeAutospacing="0" w:after="0" w:afterAutospacing="0"/>
              <w:rPr>
                <w:color w:val="0E101A"/>
                <w:sz w:val="22"/>
                <w:szCs w:val="22"/>
              </w:rPr>
            </w:pPr>
            <w:r w:rsidRPr="000908AB">
              <w:rPr>
                <w:b/>
                <w:sz w:val="22"/>
                <w:szCs w:val="22"/>
              </w:rPr>
              <w:t xml:space="preserve">Brindar capacitación y desarrollo a todo el personal de Vivienda Pública y crear estrategias para optimizar el desempeño y la productividad </w:t>
            </w:r>
            <w:proofErr w:type="gramStart"/>
            <w:r w:rsidRPr="000908AB">
              <w:rPr>
                <w:b/>
                <w:sz w:val="22"/>
                <w:szCs w:val="22"/>
              </w:rPr>
              <w:t>del</w:t>
            </w:r>
            <w:proofErr w:type="gramEnd"/>
            <w:r w:rsidRPr="000908AB">
              <w:rPr>
                <w:b/>
                <w:sz w:val="22"/>
                <w:szCs w:val="22"/>
              </w:rPr>
              <w:t xml:space="preserve"> personal.</w:t>
            </w:r>
            <w:r w:rsidR="00407743">
              <w:rPr>
                <w:b/>
                <w:sz w:val="22"/>
                <w:szCs w:val="22"/>
              </w:rPr>
              <w:t xml:space="preserve">  </w:t>
            </w:r>
          </w:p>
          <w:p w14:paraId="0F1DE2EA" w14:textId="7EF6D3A0" w:rsidR="00407743" w:rsidRPr="00407743" w:rsidRDefault="00407743" w:rsidP="00407743">
            <w:pPr>
              <w:pStyle w:val="NormalWeb"/>
              <w:numPr>
                <w:ilvl w:val="0"/>
                <w:numId w:val="28"/>
              </w:numPr>
              <w:rPr>
                <w:color w:val="0E101A"/>
                <w:sz w:val="22"/>
                <w:szCs w:val="22"/>
              </w:rPr>
            </w:pPr>
            <w:r w:rsidRPr="00407743">
              <w:rPr>
                <w:color w:val="0E101A"/>
                <w:sz w:val="22"/>
                <w:szCs w:val="22"/>
              </w:rPr>
              <w:t xml:space="preserve"> Proporcionar capacitación y desarrollo profesional para el personal</w:t>
            </w:r>
          </w:p>
          <w:p w14:paraId="0896E575" w14:textId="7BA39DED" w:rsidR="00407743" w:rsidRPr="00407743" w:rsidRDefault="00407743" w:rsidP="00407743">
            <w:pPr>
              <w:pStyle w:val="NormalWeb"/>
              <w:numPr>
                <w:ilvl w:val="0"/>
                <w:numId w:val="28"/>
              </w:numPr>
              <w:rPr>
                <w:color w:val="0E101A"/>
                <w:sz w:val="22"/>
                <w:szCs w:val="22"/>
              </w:rPr>
            </w:pPr>
            <w:r w:rsidRPr="00407743">
              <w:rPr>
                <w:color w:val="0E101A"/>
                <w:sz w:val="22"/>
                <w:szCs w:val="22"/>
              </w:rPr>
              <w:t xml:space="preserve">Proporcionar capacitación externa, educación y certificación para todo el personal de vivienda pública por parte de capacitadores de la industria de la vivienda </w:t>
            </w:r>
            <w:proofErr w:type="gramStart"/>
            <w:r w:rsidRPr="00407743">
              <w:rPr>
                <w:color w:val="0E101A"/>
                <w:sz w:val="22"/>
                <w:szCs w:val="22"/>
              </w:rPr>
              <w:t>como</w:t>
            </w:r>
            <w:proofErr w:type="gramEnd"/>
            <w:r w:rsidRPr="00407743">
              <w:rPr>
                <w:color w:val="0E101A"/>
                <w:sz w:val="22"/>
                <w:szCs w:val="22"/>
              </w:rPr>
              <w:t xml:space="preserve"> NAHRO, Nan Mckay para mejorar la competencia laboral.</w:t>
            </w:r>
          </w:p>
          <w:p w14:paraId="1FED60B2" w14:textId="0A5E6D79" w:rsidR="00407743" w:rsidRPr="00407743" w:rsidRDefault="00407743" w:rsidP="00407743">
            <w:pPr>
              <w:pStyle w:val="NormalWeb"/>
              <w:numPr>
                <w:ilvl w:val="0"/>
                <w:numId w:val="28"/>
              </w:numPr>
              <w:rPr>
                <w:color w:val="0E101A"/>
                <w:sz w:val="22"/>
                <w:szCs w:val="22"/>
              </w:rPr>
            </w:pPr>
            <w:r w:rsidRPr="00407743">
              <w:rPr>
                <w:color w:val="0E101A"/>
                <w:sz w:val="22"/>
                <w:szCs w:val="22"/>
              </w:rPr>
              <w:t>Entrene, entrene y escuche sus ideas y sugerencias.</w:t>
            </w:r>
          </w:p>
          <w:p w14:paraId="70A34010" w14:textId="2F708300" w:rsidR="00407743" w:rsidRPr="00407743" w:rsidRDefault="00407743" w:rsidP="00407743">
            <w:pPr>
              <w:pStyle w:val="NormalWeb"/>
              <w:numPr>
                <w:ilvl w:val="0"/>
                <w:numId w:val="28"/>
              </w:numPr>
              <w:rPr>
                <w:color w:val="0E101A"/>
                <w:sz w:val="22"/>
                <w:szCs w:val="22"/>
              </w:rPr>
            </w:pPr>
            <w:r w:rsidRPr="00407743">
              <w:rPr>
                <w:color w:val="0E101A"/>
                <w:sz w:val="22"/>
                <w:szCs w:val="22"/>
              </w:rPr>
              <w:t xml:space="preserve">Comunicar metas y expectativas </w:t>
            </w:r>
            <w:proofErr w:type="gramStart"/>
            <w:r w:rsidRPr="00407743">
              <w:rPr>
                <w:color w:val="0E101A"/>
                <w:sz w:val="22"/>
                <w:szCs w:val="22"/>
              </w:rPr>
              <w:t>claras</w:t>
            </w:r>
            <w:proofErr w:type="gramEnd"/>
            <w:r w:rsidRPr="00407743">
              <w:rPr>
                <w:color w:val="0E101A"/>
                <w:sz w:val="22"/>
                <w:szCs w:val="22"/>
              </w:rPr>
              <w:t>.</w:t>
            </w:r>
          </w:p>
          <w:p w14:paraId="41DD96E1" w14:textId="639A5F98" w:rsidR="00407743" w:rsidRPr="00407743" w:rsidRDefault="00407743" w:rsidP="00407743">
            <w:pPr>
              <w:pStyle w:val="NormalWeb"/>
              <w:numPr>
                <w:ilvl w:val="0"/>
                <w:numId w:val="28"/>
              </w:numPr>
              <w:rPr>
                <w:color w:val="0E101A"/>
                <w:sz w:val="22"/>
                <w:szCs w:val="22"/>
              </w:rPr>
            </w:pPr>
            <w:r w:rsidRPr="00407743">
              <w:rPr>
                <w:color w:val="0E101A"/>
                <w:sz w:val="22"/>
                <w:szCs w:val="22"/>
              </w:rPr>
              <w:t xml:space="preserve">Crear y mantener </w:t>
            </w:r>
            <w:proofErr w:type="gramStart"/>
            <w:r w:rsidRPr="00407743">
              <w:rPr>
                <w:color w:val="0E101A"/>
                <w:sz w:val="22"/>
                <w:szCs w:val="22"/>
              </w:rPr>
              <w:t>un</w:t>
            </w:r>
            <w:proofErr w:type="gramEnd"/>
            <w:r w:rsidRPr="00407743">
              <w:rPr>
                <w:color w:val="0E101A"/>
                <w:sz w:val="22"/>
                <w:szCs w:val="22"/>
              </w:rPr>
              <w:t xml:space="preserve"> entorno de jugador de equipo.</w:t>
            </w:r>
          </w:p>
          <w:p w14:paraId="6CF21352" w14:textId="3452439B" w:rsidR="00407743" w:rsidRPr="00407743" w:rsidRDefault="00407743" w:rsidP="00407743">
            <w:pPr>
              <w:pStyle w:val="NormalWeb"/>
              <w:numPr>
                <w:ilvl w:val="0"/>
                <w:numId w:val="28"/>
              </w:numPr>
              <w:rPr>
                <w:color w:val="0E101A"/>
                <w:sz w:val="22"/>
                <w:szCs w:val="22"/>
              </w:rPr>
            </w:pPr>
            <w:r w:rsidRPr="00407743">
              <w:rPr>
                <w:color w:val="0E101A"/>
                <w:sz w:val="22"/>
                <w:szCs w:val="22"/>
              </w:rPr>
              <w:t>Fomentar el crecimiento de las oportunidades y la planificación de la sucesión.</w:t>
            </w:r>
          </w:p>
          <w:p w14:paraId="1DDC2BF9" w14:textId="52F84EAD" w:rsidR="00407743" w:rsidRPr="00407743" w:rsidRDefault="00407743" w:rsidP="00407743">
            <w:pPr>
              <w:pStyle w:val="NormalWeb"/>
              <w:numPr>
                <w:ilvl w:val="0"/>
                <w:numId w:val="28"/>
              </w:numPr>
              <w:rPr>
                <w:color w:val="0E101A"/>
                <w:sz w:val="22"/>
                <w:szCs w:val="22"/>
              </w:rPr>
            </w:pPr>
            <w:r w:rsidRPr="00407743">
              <w:rPr>
                <w:color w:val="0E101A"/>
                <w:sz w:val="22"/>
                <w:szCs w:val="22"/>
              </w:rPr>
              <w:t>Brindar capacitación en seguridad trimestralmente.</w:t>
            </w:r>
          </w:p>
          <w:p w14:paraId="6C494D4F" w14:textId="1AEF139F" w:rsidR="009C31AB" w:rsidRPr="0037252E" w:rsidRDefault="00407743" w:rsidP="00407743">
            <w:pPr>
              <w:numPr>
                <w:ilvl w:val="0"/>
                <w:numId w:val="28"/>
              </w:numPr>
              <w:rPr>
                <w:bCs/>
                <w:sz w:val="22"/>
                <w:szCs w:val="22"/>
              </w:rPr>
            </w:pPr>
            <w:r w:rsidRPr="00407743">
              <w:rPr>
                <w:color w:val="0E101A"/>
                <w:sz w:val="22"/>
                <w:szCs w:val="22"/>
              </w:rPr>
              <w:t>Asegúrese de que el personal de mantenimiento esté capacitado en HVAC, plomería, control de inventario y otras áreas necesarias para mantener las propiedades en condiciones decentes y seguras.</w:t>
            </w:r>
          </w:p>
        </w:tc>
      </w:tr>
      <w:tr w:rsidR="009C5FD6" w:rsidRPr="0037252E" w14:paraId="0C8F3C5C" w14:textId="77777777" w:rsidTr="00E66566">
        <w:trPr>
          <w:cantSplit/>
          <w:trHeight w:val="1070"/>
        </w:trPr>
        <w:tc>
          <w:tcPr>
            <w:tcW w:w="619" w:type="dxa"/>
          </w:tcPr>
          <w:p w14:paraId="3879AD03" w14:textId="3808B7F3" w:rsidR="009C5FD6" w:rsidRPr="0037252E" w:rsidRDefault="009C5FD6" w:rsidP="00E02E4A">
            <w:pPr>
              <w:jc w:val="center"/>
              <w:rPr>
                <w:b/>
                <w:bCs/>
                <w:sz w:val="22"/>
                <w:szCs w:val="22"/>
              </w:rPr>
            </w:pPr>
          </w:p>
          <w:p w14:paraId="2EEF1CDD" w14:textId="77777777" w:rsidR="009C5FD6" w:rsidRPr="0037252E" w:rsidRDefault="009C5FD6" w:rsidP="00E02E4A">
            <w:pPr>
              <w:jc w:val="center"/>
              <w:rPr>
                <w:b/>
                <w:bCs/>
                <w:sz w:val="22"/>
                <w:szCs w:val="22"/>
              </w:rPr>
            </w:pPr>
            <w:r w:rsidRPr="0037252E">
              <w:rPr>
                <w:b/>
                <w:bCs/>
                <w:sz w:val="22"/>
                <w:szCs w:val="22"/>
              </w:rPr>
              <w:t>B.3</w:t>
            </w:r>
          </w:p>
          <w:p w14:paraId="26331CC8" w14:textId="77777777" w:rsidR="009C5FD6" w:rsidRPr="0037252E" w:rsidRDefault="009C5FD6" w:rsidP="00E02E4A">
            <w:pPr>
              <w:jc w:val="center"/>
              <w:rPr>
                <w:b/>
                <w:bCs/>
                <w:sz w:val="22"/>
                <w:szCs w:val="22"/>
              </w:rPr>
            </w:pPr>
          </w:p>
        </w:tc>
        <w:tc>
          <w:tcPr>
            <w:tcW w:w="10248" w:type="dxa"/>
          </w:tcPr>
          <w:p w14:paraId="11E3FDF9" w14:textId="77777777" w:rsidR="009C5FD6" w:rsidRPr="0037252E" w:rsidRDefault="009C5FD6" w:rsidP="00E02E4A">
            <w:pPr>
              <w:rPr>
                <w:rStyle w:val="ptext-3"/>
                <w:b/>
                <w:color w:val="000000"/>
                <w:sz w:val="22"/>
                <w:szCs w:val="22"/>
              </w:rPr>
            </w:pPr>
          </w:p>
          <w:p w14:paraId="07CF7045" w14:textId="276D4248" w:rsidR="009C31AB" w:rsidRDefault="00407743" w:rsidP="0042148C">
            <w:pPr>
              <w:rPr>
                <w:rStyle w:val="ptext-3"/>
                <w:color w:val="000000"/>
                <w:sz w:val="22"/>
                <w:szCs w:val="22"/>
              </w:rPr>
            </w:pPr>
            <w:r w:rsidRPr="00407743">
              <w:rPr>
                <w:rStyle w:val="ptext-3"/>
                <w:b/>
                <w:color w:val="000000"/>
                <w:sz w:val="22"/>
                <w:szCs w:val="22"/>
              </w:rPr>
              <w:t>Informe de progreso.</w:t>
            </w:r>
            <w:r>
              <w:rPr>
                <w:rStyle w:val="ptext-3"/>
                <w:b/>
                <w:color w:val="000000"/>
                <w:sz w:val="22"/>
                <w:szCs w:val="22"/>
              </w:rPr>
              <w:t xml:space="preserve">  </w:t>
            </w:r>
            <w:r w:rsidRPr="00407743">
              <w:rPr>
                <w:rStyle w:val="ptext-3"/>
                <w:color w:val="000000"/>
                <w:sz w:val="22"/>
                <w:szCs w:val="22"/>
              </w:rPr>
              <w:t>Incluya un informe sobre el progreso que ha logrado la PHA en el cumplimiento de las metas y objetivos descritos en el Plan de 5 años anterior.</w:t>
            </w:r>
          </w:p>
          <w:p w14:paraId="25948845" w14:textId="77777777" w:rsidR="00407743" w:rsidRPr="0037252E" w:rsidRDefault="00407743" w:rsidP="0042148C">
            <w:pPr>
              <w:rPr>
                <w:rStyle w:val="ptext-3"/>
                <w:color w:val="000000"/>
                <w:sz w:val="22"/>
                <w:szCs w:val="22"/>
              </w:rPr>
            </w:pPr>
          </w:p>
          <w:p w14:paraId="4D939F5D" w14:textId="77777777" w:rsidR="00407743" w:rsidRPr="00407743" w:rsidRDefault="00407743" w:rsidP="00407743">
            <w:pPr>
              <w:rPr>
                <w:rStyle w:val="ptext-3"/>
                <w:color w:val="000000"/>
                <w:sz w:val="22"/>
                <w:szCs w:val="22"/>
              </w:rPr>
            </w:pPr>
            <w:r w:rsidRPr="00407743">
              <w:rPr>
                <w:rStyle w:val="ptext-3"/>
                <w:color w:val="000000"/>
                <w:sz w:val="22"/>
                <w:szCs w:val="22"/>
              </w:rPr>
              <w:t>El plan de 5 años para el año fiscal 2015 incluía los siguientes objetivos: Mejorar los puntajes de PHA y SEMAP:</w:t>
            </w:r>
          </w:p>
          <w:p w14:paraId="33559445" w14:textId="77777777" w:rsidR="00407743" w:rsidRPr="00407743" w:rsidRDefault="00407743" w:rsidP="00407743">
            <w:pPr>
              <w:rPr>
                <w:rStyle w:val="ptext-3"/>
                <w:color w:val="000000"/>
                <w:sz w:val="22"/>
                <w:szCs w:val="22"/>
              </w:rPr>
            </w:pPr>
            <w:r w:rsidRPr="00407743">
              <w:rPr>
                <w:rStyle w:val="ptext-3"/>
                <w:color w:val="000000"/>
                <w:sz w:val="22"/>
                <w:szCs w:val="22"/>
              </w:rPr>
              <w:t xml:space="preserve">           Desde el año fiscal 2015, STHA ha realizado los siguientes avances para lograr estos objetivos.</w:t>
            </w:r>
          </w:p>
          <w:p w14:paraId="7525DA9A" w14:textId="77777777" w:rsidR="00407743" w:rsidRPr="00407743" w:rsidRDefault="00407743" w:rsidP="00407743">
            <w:pPr>
              <w:rPr>
                <w:rStyle w:val="ptext-3"/>
                <w:color w:val="000000"/>
                <w:sz w:val="22"/>
                <w:szCs w:val="22"/>
              </w:rPr>
            </w:pPr>
            <w:r w:rsidRPr="00407743">
              <w:rPr>
                <w:rStyle w:val="ptext-3"/>
                <w:color w:val="000000"/>
                <w:sz w:val="22"/>
                <w:szCs w:val="22"/>
              </w:rPr>
              <w:t>1. La puntuación de PHA SEMAP ha aumentado y disminuido durante el plan anterior de 5 años. En 2015 el puntaje fue PHA 80/ SEMAP 93. En 2019 el puntaje fue PHA 69/ SEMAP 100.</w:t>
            </w:r>
          </w:p>
          <w:p w14:paraId="48404759" w14:textId="77777777" w:rsidR="00407743" w:rsidRPr="00407743" w:rsidRDefault="00407743" w:rsidP="00407743">
            <w:pPr>
              <w:rPr>
                <w:rStyle w:val="ptext-3"/>
                <w:color w:val="000000"/>
                <w:sz w:val="22"/>
                <w:szCs w:val="22"/>
              </w:rPr>
            </w:pPr>
            <w:r w:rsidRPr="00407743">
              <w:rPr>
                <w:rStyle w:val="ptext-3"/>
                <w:color w:val="000000"/>
                <w:sz w:val="22"/>
                <w:szCs w:val="22"/>
              </w:rPr>
              <w:t>2. Reducir las vacantes: las tasas de ocupación han seguido siendo volátiles y difíciles. Hubo algunos períodos buenos con respecto al plan anterior de 5 años, pero la falta de supervisión por parte del personal de mantenimiento provocó retrasos en la reparación de nuestras unidades rotativas y, en general, el mantenimiento diferido siguió siendo un problema.</w:t>
            </w:r>
          </w:p>
          <w:p w14:paraId="64FDEF7B" w14:textId="77777777" w:rsidR="00407743" w:rsidRPr="00407743" w:rsidRDefault="00407743" w:rsidP="00407743">
            <w:pPr>
              <w:rPr>
                <w:rStyle w:val="ptext-3"/>
                <w:color w:val="000000"/>
                <w:sz w:val="22"/>
                <w:szCs w:val="22"/>
              </w:rPr>
            </w:pPr>
            <w:r w:rsidRPr="00407743">
              <w:rPr>
                <w:rStyle w:val="ptext-3"/>
                <w:color w:val="000000"/>
                <w:sz w:val="22"/>
                <w:szCs w:val="22"/>
              </w:rPr>
              <w:t>3. Aumentar la satisfacción del cliente: los inquilinos parecen estar contentos, aunque les gustaría ver más mejoras y reparaciones realizadas de manera oportuna.</w:t>
            </w:r>
          </w:p>
          <w:p w14:paraId="729300B6" w14:textId="7CD92CD4" w:rsidR="00046866" w:rsidRPr="00407743" w:rsidRDefault="00407743" w:rsidP="00407743">
            <w:pPr>
              <w:rPr>
                <w:color w:val="000000"/>
                <w:sz w:val="22"/>
                <w:szCs w:val="22"/>
              </w:rPr>
            </w:pPr>
            <w:r w:rsidRPr="00407743">
              <w:rPr>
                <w:rStyle w:val="ptext-3"/>
                <w:color w:val="000000"/>
                <w:sz w:val="22"/>
                <w:szCs w:val="22"/>
              </w:rPr>
              <w:t>4. Modernizar unidades de vivienda pública: Durante este período se modernizaron 4 unidades. 1 en la sección de familias y los otros 3 en la sección de minusválidos/ancianos tras un incendio ocurrido en 2019.</w:t>
            </w:r>
          </w:p>
        </w:tc>
      </w:tr>
      <w:tr w:rsidR="009C5FD6" w:rsidRPr="0037252E" w14:paraId="200E0709" w14:textId="77777777" w:rsidTr="00E66566">
        <w:trPr>
          <w:cantSplit/>
          <w:trHeight w:val="998"/>
        </w:trPr>
        <w:tc>
          <w:tcPr>
            <w:tcW w:w="619" w:type="dxa"/>
          </w:tcPr>
          <w:p w14:paraId="3FDC098A" w14:textId="090E10E0" w:rsidR="009C5FD6" w:rsidRPr="0037252E" w:rsidRDefault="009E098C" w:rsidP="00E02E4A">
            <w:pPr>
              <w:jc w:val="center"/>
              <w:rPr>
                <w:b/>
                <w:bCs/>
                <w:sz w:val="22"/>
                <w:szCs w:val="22"/>
              </w:rPr>
            </w:pPr>
            <w:r w:rsidRPr="0037252E">
              <w:rPr>
                <w:b/>
                <w:bCs/>
                <w:sz w:val="22"/>
                <w:szCs w:val="22"/>
              </w:rPr>
              <w:t>B.4</w:t>
            </w:r>
          </w:p>
        </w:tc>
        <w:tc>
          <w:tcPr>
            <w:tcW w:w="10248" w:type="dxa"/>
          </w:tcPr>
          <w:p w14:paraId="7766D429" w14:textId="77777777" w:rsidR="009C5FD6" w:rsidRPr="0037252E" w:rsidRDefault="009C5FD6" w:rsidP="00E02E4A">
            <w:pPr>
              <w:rPr>
                <w:b/>
                <w:bCs/>
                <w:sz w:val="22"/>
                <w:szCs w:val="22"/>
              </w:rPr>
            </w:pPr>
          </w:p>
          <w:p w14:paraId="5ABD94DF" w14:textId="6CD85179" w:rsidR="00611B32" w:rsidRDefault="00407743" w:rsidP="0042148C">
            <w:pPr>
              <w:rPr>
                <w:bCs/>
                <w:sz w:val="22"/>
                <w:szCs w:val="22"/>
              </w:rPr>
            </w:pPr>
            <w:r w:rsidRPr="00407743">
              <w:rPr>
                <w:b/>
                <w:bCs/>
                <w:sz w:val="22"/>
                <w:szCs w:val="22"/>
              </w:rPr>
              <w:t>Objetivos de la Ley de Violencia contra la Mujer (VAWA)</w:t>
            </w:r>
            <w:r w:rsidR="009C5FD6" w:rsidRPr="0037252E">
              <w:rPr>
                <w:b/>
                <w:bCs/>
                <w:sz w:val="22"/>
                <w:szCs w:val="22"/>
              </w:rPr>
              <w:t>.</w:t>
            </w:r>
            <w:r w:rsidR="009C5FD6" w:rsidRPr="0037252E">
              <w:rPr>
                <w:bCs/>
                <w:sz w:val="22"/>
                <w:szCs w:val="22"/>
              </w:rPr>
              <w:t xml:space="preserve">  </w:t>
            </w:r>
            <w:r w:rsidRPr="00407743">
              <w:rPr>
                <w:bCs/>
                <w:sz w:val="22"/>
                <w:szCs w:val="22"/>
              </w:rPr>
              <w:t>Proporcione una declaración de las metas, los objetivos de las actividades, las políticas o los programas de la PHA que permitirán que la PHA atienda las necesidades de los niños y adultos víctimas de violencia doméstica, violencia de pareja, agresión sexual o acecho.</w:t>
            </w:r>
          </w:p>
          <w:p w14:paraId="189E1BD0" w14:textId="77777777" w:rsidR="00EA2B9E" w:rsidRPr="0037252E" w:rsidRDefault="00EA2B9E" w:rsidP="0042148C">
            <w:pPr>
              <w:rPr>
                <w:rStyle w:val="ptext-3"/>
                <w:b/>
                <w:bCs/>
                <w:sz w:val="22"/>
                <w:szCs w:val="22"/>
              </w:rPr>
            </w:pPr>
          </w:p>
          <w:p w14:paraId="3EE631B7" w14:textId="7EC79175" w:rsidR="00611B32" w:rsidRPr="0037252E" w:rsidRDefault="00EA2B9E" w:rsidP="00290C22">
            <w:pPr>
              <w:rPr>
                <w:rStyle w:val="ptext-3"/>
                <w:b/>
                <w:color w:val="000000"/>
                <w:sz w:val="22"/>
                <w:szCs w:val="22"/>
              </w:rPr>
            </w:pPr>
            <w:r w:rsidRPr="00EA2B9E">
              <w:rPr>
                <w:iCs/>
                <w:sz w:val="22"/>
                <w:szCs w:val="22"/>
              </w:rPr>
              <w:t>STHA tiene una preferencia de lista de espera para víctimas de violencia doméstica. STHA también adoptó la política de transferencia VAWA de muestra de HUD como un anexo a la política de transferencia vigente en STHA. Desde 2015, recibimos 43 solicitantes bajo la preferencia de VAWA y alojamos a 24. Actualmente tenemos 1 preferencia para VAWA en nuestra lista de espera. El plan de STHA es colaborar más estrechamente con Emerge: Center Against Domestic Abuse de Pima-Tucson.</w:t>
            </w:r>
          </w:p>
        </w:tc>
      </w:tr>
      <w:tr w:rsidR="00831A03" w:rsidRPr="0037252E" w14:paraId="72CD3342" w14:textId="77777777" w:rsidTr="00E66566">
        <w:trPr>
          <w:cantSplit/>
          <w:trHeight w:val="998"/>
        </w:trPr>
        <w:tc>
          <w:tcPr>
            <w:tcW w:w="619" w:type="dxa"/>
          </w:tcPr>
          <w:p w14:paraId="553097AB" w14:textId="77777777" w:rsidR="00831A03" w:rsidRPr="0037252E" w:rsidRDefault="00831A03" w:rsidP="00E02E4A">
            <w:pPr>
              <w:jc w:val="center"/>
              <w:rPr>
                <w:b/>
                <w:bCs/>
                <w:sz w:val="22"/>
                <w:szCs w:val="22"/>
              </w:rPr>
            </w:pPr>
          </w:p>
          <w:p w14:paraId="44376C30" w14:textId="77777777" w:rsidR="00831A03" w:rsidRPr="0037252E" w:rsidRDefault="00831A03" w:rsidP="00E02E4A">
            <w:pPr>
              <w:jc w:val="center"/>
              <w:rPr>
                <w:b/>
                <w:bCs/>
                <w:sz w:val="22"/>
                <w:szCs w:val="22"/>
              </w:rPr>
            </w:pPr>
            <w:r w:rsidRPr="0037252E">
              <w:rPr>
                <w:b/>
                <w:bCs/>
                <w:sz w:val="22"/>
                <w:szCs w:val="22"/>
              </w:rPr>
              <w:t>B.5</w:t>
            </w:r>
          </w:p>
        </w:tc>
        <w:tc>
          <w:tcPr>
            <w:tcW w:w="10248" w:type="dxa"/>
          </w:tcPr>
          <w:p w14:paraId="1D3E4AF3" w14:textId="77777777" w:rsidR="00831A03" w:rsidRPr="0037252E" w:rsidRDefault="00831A03" w:rsidP="00E02E4A">
            <w:pPr>
              <w:rPr>
                <w:b/>
                <w:bCs/>
                <w:sz w:val="22"/>
                <w:szCs w:val="22"/>
              </w:rPr>
            </w:pPr>
          </w:p>
          <w:p w14:paraId="6363B6D6" w14:textId="7CF0798A" w:rsidR="00427005" w:rsidRDefault="00EA2B9E" w:rsidP="00E02E4A">
            <w:pPr>
              <w:rPr>
                <w:bCs/>
                <w:sz w:val="22"/>
                <w:szCs w:val="22"/>
              </w:rPr>
            </w:pPr>
            <w:r w:rsidRPr="00EA2B9E">
              <w:rPr>
                <w:b/>
                <w:bCs/>
                <w:sz w:val="22"/>
                <w:szCs w:val="22"/>
              </w:rPr>
              <w:t>Enmienda o Modificación Significativa</w:t>
            </w:r>
            <w:r w:rsidR="00831A03" w:rsidRPr="0037252E">
              <w:rPr>
                <w:bCs/>
                <w:sz w:val="22"/>
                <w:szCs w:val="22"/>
              </w:rPr>
              <w:t xml:space="preserve">. </w:t>
            </w:r>
            <w:r w:rsidRPr="00EA2B9E">
              <w:rPr>
                <w:bCs/>
                <w:sz w:val="22"/>
                <w:szCs w:val="22"/>
              </w:rPr>
              <w:t>Proporcionar una declaración sobre los criterios utilizados para determinar una enmienda o modificación significativa al Plan de 5 años.</w:t>
            </w:r>
          </w:p>
          <w:p w14:paraId="3073AD60" w14:textId="77777777" w:rsidR="00EA2B9E" w:rsidRPr="0037252E" w:rsidRDefault="00EA2B9E" w:rsidP="00E02E4A">
            <w:pPr>
              <w:rPr>
                <w:bCs/>
                <w:sz w:val="22"/>
                <w:szCs w:val="22"/>
              </w:rPr>
            </w:pPr>
          </w:p>
          <w:p w14:paraId="3EBF4E2B" w14:textId="77777777" w:rsidR="00EA2B9E" w:rsidRDefault="00EA2B9E" w:rsidP="00427005">
            <w:pPr>
              <w:rPr>
                <w:sz w:val="22"/>
                <w:szCs w:val="22"/>
              </w:rPr>
            </w:pPr>
            <w:r w:rsidRPr="00EA2B9E">
              <w:rPr>
                <w:sz w:val="22"/>
                <w:szCs w:val="22"/>
              </w:rPr>
              <w:t>De acuerdo con las regulaciones de HUD en 24 CFR 903.7 (r) y 24 CFR 905.3, STHA ha definido a continuación los criterios básicos que se utilizarán para determinar: (i) desviación sustancial de su Plan de 5 años; (ii) enmienda o modificación significativa a los planes anuales y de 5 años de la PHA; y (iii) enmienda o modificación significativa al Plan de Acción de 5 Años del Programa de Fondos de Capital (CFP). Antes de implementar cambios que cumplan con dichos criterios, STHA presentará para la aprobación de HUD, uno o más planes revisados que cumplan con todos los requisitos del proceso público, incluida la revisión y consulta de la Junta Asesora de Residentes.</w:t>
            </w:r>
          </w:p>
          <w:p w14:paraId="78040D0A" w14:textId="77777777" w:rsidR="00EA2B9E" w:rsidRDefault="00EA2B9E" w:rsidP="00427005">
            <w:pPr>
              <w:ind w:left="720"/>
              <w:rPr>
                <w:sz w:val="22"/>
                <w:szCs w:val="22"/>
              </w:rPr>
            </w:pPr>
            <w:r w:rsidRPr="00EA2B9E">
              <w:rPr>
                <w:sz w:val="22"/>
                <w:szCs w:val="22"/>
              </w:rPr>
              <w:t>Los criterios de STHA, tal como se definen a continuación, se aplican a todos los componentes de CFP, incluidos: subvenciones del Fondo de capital; subvenciones por desastre; asignaciones del Programa de Financiamiento de Fondos de Capital (CFFP); así como cualquier componente de fórmula nuevo o futuro, como Demolition and Disposition Transitional Funding (DDTF).</w:t>
            </w:r>
          </w:p>
          <w:p w14:paraId="71F76233" w14:textId="77777777" w:rsidR="00EA2B9E" w:rsidRPr="00EA2B9E" w:rsidRDefault="00EA2B9E" w:rsidP="00EA2B9E">
            <w:pPr>
              <w:ind w:left="720"/>
              <w:rPr>
                <w:sz w:val="22"/>
                <w:szCs w:val="22"/>
              </w:rPr>
            </w:pPr>
            <w:r w:rsidRPr="00EA2B9E">
              <w:rPr>
                <w:sz w:val="22"/>
                <w:szCs w:val="22"/>
              </w:rPr>
              <w:t>(i) Criterios para definir “Desviación Sustancial” del Plan de 5 Años:</w:t>
            </w:r>
          </w:p>
          <w:p w14:paraId="3A7F3D3B" w14:textId="77777777" w:rsidR="00EA2B9E" w:rsidRPr="00EA2B9E" w:rsidRDefault="00EA2B9E" w:rsidP="00EA2B9E">
            <w:pPr>
              <w:ind w:left="720"/>
              <w:rPr>
                <w:sz w:val="22"/>
                <w:szCs w:val="22"/>
              </w:rPr>
            </w:pPr>
            <w:r w:rsidRPr="00EA2B9E">
              <w:rPr>
                <w:sz w:val="22"/>
                <w:szCs w:val="22"/>
              </w:rPr>
              <w:t>• Un cambio importante en la dirección de STHA con respecto a su misión y metas constituiría una “desviación sustancial” del Plan de 5 años de la Agencia.</w:t>
            </w:r>
          </w:p>
          <w:p w14:paraId="6CD578BC" w14:textId="77777777" w:rsidR="00EA2B9E" w:rsidRDefault="00EA2B9E" w:rsidP="00EA2B9E">
            <w:pPr>
              <w:ind w:firstLine="720"/>
              <w:rPr>
                <w:sz w:val="22"/>
                <w:szCs w:val="22"/>
              </w:rPr>
            </w:pPr>
            <w:r w:rsidRPr="00EA2B9E">
              <w:rPr>
                <w:sz w:val="22"/>
                <w:szCs w:val="22"/>
              </w:rPr>
              <w:t xml:space="preserve">• Los ejemplos incluyen la realización de nuevas actividades del programa, estrategias </w:t>
            </w:r>
          </w:p>
          <w:p w14:paraId="0B265854" w14:textId="5485BE0E" w:rsidR="00EA2B9E" w:rsidRDefault="00EA2B9E" w:rsidP="00EA2B9E">
            <w:pPr>
              <w:ind w:firstLine="720"/>
              <w:rPr>
                <w:sz w:val="22"/>
                <w:szCs w:val="22"/>
              </w:rPr>
            </w:pPr>
            <w:r w:rsidRPr="00EA2B9E">
              <w:rPr>
                <w:sz w:val="22"/>
                <w:szCs w:val="22"/>
              </w:rPr>
              <w:t xml:space="preserve">de desarrollo o </w:t>
            </w:r>
            <w:r>
              <w:rPr>
                <w:sz w:val="22"/>
                <w:szCs w:val="22"/>
              </w:rPr>
              <w:t xml:space="preserve">  </w:t>
            </w:r>
            <w:r w:rsidRPr="00EA2B9E">
              <w:rPr>
                <w:sz w:val="22"/>
                <w:szCs w:val="22"/>
              </w:rPr>
              <w:t>iniciativas de financiación que de otro modo no promueven la misión y los objetivos</w:t>
            </w:r>
          </w:p>
          <w:p w14:paraId="081CB317" w14:textId="59174596" w:rsidR="00EA2B9E" w:rsidRDefault="00EA2B9E" w:rsidP="00EA2B9E">
            <w:pPr>
              <w:ind w:firstLine="720"/>
              <w:rPr>
                <w:sz w:val="22"/>
                <w:szCs w:val="22"/>
              </w:rPr>
            </w:pPr>
            <w:r w:rsidRPr="00EA2B9E">
              <w:rPr>
                <w:sz w:val="22"/>
                <w:szCs w:val="22"/>
              </w:rPr>
              <w:t xml:space="preserve"> </w:t>
            </w:r>
            <w:proofErr w:type="gramStart"/>
            <w:r w:rsidRPr="00EA2B9E">
              <w:rPr>
                <w:sz w:val="22"/>
                <w:szCs w:val="22"/>
              </w:rPr>
              <w:t>declarados</w:t>
            </w:r>
            <w:proofErr w:type="gramEnd"/>
            <w:r w:rsidRPr="00EA2B9E">
              <w:rPr>
                <w:sz w:val="22"/>
                <w:szCs w:val="22"/>
              </w:rPr>
              <w:t xml:space="preserve"> de STHA como se articula en el Plan de 5 años.</w:t>
            </w:r>
            <w:r w:rsidRPr="00EA2B9E">
              <w:rPr>
                <w:sz w:val="22"/>
                <w:szCs w:val="22"/>
              </w:rPr>
              <w:t xml:space="preserve"> </w:t>
            </w:r>
          </w:p>
          <w:p w14:paraId="0D9D9018" w14:textId="77777777" w:rsidR="00EA2B9E" w:rsidRPr="00EA2B9E" w:rsidRDefault="00EA2B9E" w:rsidP="00EA2B9E">
            <w:pPr>
              <w:ind w:firstLine="720"/>
              <w:rPr>
                <w:sz w:val="22"/>
                <w:szCs w:val="22"/>
              </w:rPr>
            </w:pPr>
            <w:r w:rsidRPr="00EA2B9E">
              <w:rPr>
                <w:sz w:val="22"/>
                <w:szCs w:val="22"/>
              </w:rPr>
              <w:t>(ii) Criterios para definir "Enmienda o modificación significativa" a la PHA de 5 años y anual</w:t>
            </w:r>
          </w:p>
          <w:p w14:paraId="159F9566" w14:textId="77777777" w:rsidR="00EA2B9E" w:rsidRDefault="00EA2B9E" w:rsidP="00EA2B9E">
            <w:pPr>
              <w:ind w:firstLine="720"/>
              <w:rPr>
                <w:sz w:val="22"/>
                <w:szCs w:val="22"/>
              </w:rPr>
            </w:pPr>
            <w:r w:rsidRPr="00EA2B9E">
              <w:rPr>
                <w:sz w:val="22"/>
                <w:szCs w:val="22"/>
              </w:rPr>
              <w:t xml:space="preserve">Planes: </w:t>
            </w:r>
          </w:p>
          <w:p w14:paraId="39A84F65" w14:textId="2633228D" w:rsidR="00EA2B9E" w:rsidRPr="00EA2B9E" w:rsidRDefault="00EA2B9E" w:rsidP="00EA2B9E">
            <w:pPr>
              <w:pStyle w:val="ListParagraph"/>
              <w:numPr>
                <w:ilvl w:val="0"/>
                <w:numId w:val="29"/>
              </w:numPr>
              <w:rPr>
                <w:sz w:val="22"/>
                <w:szCs w:val="22"/>
              </w:rPr>
            </w:pPr>
            <w:r w:rsidRPr="00EA2B9E">
              <w:rPr>
                <w:sz w:val="22"/>
                <w:szCs w:val="22"/>
              </w:rPr>
              <w:t xml:space="preserve">Cambios en la renta, políticas de admisión u organización de la(s) lista(s) </w:t>
            </w:r>
          </w:p>
          <w:p w14:paraId="195C7C09" w14:textId="08FAB933" w:rsidR="00EA2B9E" w:rsidRDefault="00EA2B9E" w:rsidP="00EA2B9E">
            <w:pPr>
              <w:ind w:firstLine="720"/>
              <w:rPr>
                <w:sz w:val="22"/>
                <w:szCs w:val="22"/>
              </w:rPr>
            </w:pPr>
            <w:r w:rsidRPr="00EA2B9E">
              <w:rPr>
                <w:sz w:val="22"/>
                <w:szCs w:val="22"/>
              </w:rPr>
              <w:t>de espera en el Programa de Vivienda Pública que afectará a más del 10% de</w:t>
            </w:r>
          </w:p>
          <w:p w14:paraId="70AD9AFE" w14:textId="0C0F1514" w:rsidR="00EA2B9E" w:rsidRPr="00EA2B9E" w:rsidRDefault="00EA2B9E" w:rsidP="00EA2B9E">
            <w:pPr>
              <w:ind w:firstLine="720"/>
              <w:rPr>
                <w:sz w:val="22"/>
                <w:szCs w:val="22"/>
              </w:rPr>
            </w:pPr>
            <w:r w:rsidRPr="00EA2B9E">
              <w:rPr>
                <w:sz w:val="22"/>
                <w:szCs w:val="22"/>
              </w:rPr>
              <w:t xml:space="preserve"> </w:t>
            </w:r>
            <w:proofErr w:type="gramStart"/>
            <w:r w:rsidRPr="00EA2B9E">
              <w:rPr>
                <w:sz w:val="22"/>
                <w:szCs w:val="22"/>
              </w:rPr>
              <w:t>los</w:t>
            </w:r>
            <w:proofErr w:type="gramEnd"/>
            <w:r w:rsidRPr="00EA2B9E">
              <w:rPr>
                <w:sz w:val="22"/>
                <w:szCs w:val="22"/>
              </w:rPr>
              <w:t xml:space="preserve"> solicitantes y/u hogares asistidos bajo el Programa.</w:t>
            </w:r>
          </w:p>
          <w:p w14:paraId="54150E21" w14:textId="0FD88AC6" w:rsidR="00427005" w:rsidRPr="0037252E" w:rsidRDefault="00EA2B9E" w:rsidP="00EA2B9E">
            <w:pPr>
              <w:pStyle w:val="ListParagraph"/>
              <w:numPr>
                <w:ilvl w:val="0"/>
                <w:numId w:val="29"/>
              </w:numPr>
              <w:spacing w:line="259" w:lineRule="auto"/>
              <w:contextualSpacing/>
              <w:rPr>
                <w:sz w:val="22"/>
                <w:szCs w:val="22"/>
              </w:rPr>
            </w:pPr>
            <w:r w:rsidRPr="00EA2B9E">
              <w:rPr>
                <w:sz w:val="22"/>
                <w:szCs w:val="22"/>
              </w:rPr>
              <w:t>Cambios en el alquiler, las políticas de admisión o la organización de la(s) lista(s) de espera en el Programa de Vales de Elección de Vivienda que afectarán a más del 10 % de los solicitantes y/u hogares asistidos por el Programa.</w:t>
            </w:r>
            <w:r w:rsidR="00427005" w:rsidRPr="0037252E">
              <w:rPr>
                <w:sz w:val="22"/>
                <w:szCs w:val="22"/>
              </w:rPr>
              <w:t>Substantial changes to demolition, disposition, designated housing, homeownership, or conversion activities identified in the current HUD-approved Annual or 5-Year Plans.</w:t>
            </w:r>
          </w:p>
          <w:p w14:paraId="18C29B3F" w14:textId="0E195774" w:rsidR="00427005" w:rsidRPr="0037252E" w:rsidRDefault="00427005" w:rsidP="00427005">
            <w:pPr>
              <w:ind w:left="720"/>
              <w:rPr>
                <w:sz w:val="22"/>
                <w:szCs w:val="22"/>
              </w:rPr>
            </w:pPr>
            <w:r w:rsidRPr="0037252E">
              <w:rPr>
                <w:sz w:val="22"/>
                <w:szCs w:val="22"/>
              </w:rPr>
              <w:t xml:space="preserve">(iii)  </w:t>
            </w:r>
            <w:r w:rsidR="00EA2B9E" w:rsidRPr="00EA2B9E">
              <w:rPr>
                <w:sz w:val="22"/>
                <w:szCs w:val="22"/>
              </w:rPr>
              <w:t>Criterios para definir “Enmienda o Modificación Significativa” al Plan de Acción de 5 Años del Programa de Fondos de Capital (CFP)</w:t>
            </w:r>
            <w:r w:rsidRPr="0037252E">
              <w:rPr>
                <w:sz w:val="22"/>
                <w:szCs w:val="22"/>
              </w:rPr>
              <w:t>:</w:t>
            </w:r>
          </w:p>
          <w:p w14:paraId="01A97B11" w14:textId="4983C4AB" w:rsidR="00427005" w:rsidRPr="0037252E" w:rsidRDefault="00EA2B9E" w:rsidP="00EA2B9E">
            <w:pPr>
              <w:pStyle w:val="ListParagraph"/>
              <w:numPr>
                <w:ilvl w:val="0"/>
                <w:numId w:val="17"/>
              </w:numPr>
              <w:spacing w:line="259" w:lineRule="auto"/>
              <w:contextualSpacing/>
              <w:rPr>
                <w:sz w:val="22"/>
                <w:szCs w:val="22"/>
              </w:rPr>
            </w:pPr>
            <w:r w:rsidRPr="00EA2B9E">
              <w:rPr>
                <w:sz w:val="22"/>
                <w:szCs w:val="22"/>
              </w:rPr>
              <w:t>• Las propuestas de demolición, disposición, propiedad de vivienda, financiación del Fondo de capital, desarrollo, conversiones RAD o propuestas de financiación mixta se considerarán enmiendas significativas al Plan de acción de 5 años de CFP</w:t>
            </w:r>
            <w:proofErr w:type="gramStart"/>
            <w:r w:rsidRPr="00EA2B9E">
              <w:rPr>
                <w:sz w:val="22"/>
                <w:szCs w:val="22"/>
              </w:rPr>
              <w:t>.</w:t>
            </w:r>
            <w:r w:rsidR="00427005" w:rsidRPr="0037252E">
              <w:rPr>
                <w:sz w:val="22"/>
                <w:szCs w:val="22"/>
              </w:rPr>
              <w:t>.</w:t>
            </w:r>
            <w:proofErr w:type="gramEnd"/>
          </w:p>
          <w:p w14:paraId="36E3E727" w14:textId="77777777" w:rsidR="00B03273" w:rsidRDefault="00B03273" w:rsidP="00B03273">
            <w:pPr>
              <w:pStyle w:val="ListParagraph"/>
              <w:numPr>
                <w:ilvl w:val="0"/>
                <w:numId w:val="17"/>
              </w:numPr>
              <w:rPr>
                <w:sz w:val="22"/>
                <w:szCs w:val="22"/>
              </w:rPr>
            </w:pPr>
            <w:r w:rsidRPr="00B03273">
              <w:rPr>
                <w:sz w:val="22"/>
                <w:szCs w:val="22"/>
              </w:rPr>
              <w:t xml:space="preserve">• Adiciones de elementos de trabajo que no </w:t>
            </w:r>
            <w:proofErr w:type="gramStart"/>
            <w:r w:rsidRPr="00B03273">
              <w:rPr>
                <w:sz w:val="22"/>
                <w:szCs w:val="22"/>
              </w:rPr>
              <w:t>sean</w:t>
            </w:r>
            <w:proofErr w:type="gramEnd"/>
            <w:r w:rsidRPr="00B03273">
              <w:rPr>
                <w:sz w:val="22"/>
                <w:szCs w:val="22"/>
              </w:rPr>
              <w:t xml:space="preserve"> de emergencia no incluidos en la Declaración anual actual de CFP o el Plan de acción de 5 años de CFP que excedan $1 millón. </w:t>
            </w:r>
          </w:p>
          <w:p w14:paraId="7FAF655A" w14:textId="7AEDE8C4" w:rsidR="00B03273" w:rsidRPr="00B03273" w:rsidRDefault="00B03273" w:rsidP="00B03273">
            <w:pPr>
              <w:spacing w:line="259" w:lineRule="auto"/>
              <w:ind w:left="720"/>
              <w:contextualSpacing/>
              <w:rPr>
                <w:sz w:val="22"/>
                <w:szCs w:val="22"/>
              </w:rPr>
            </w:pPr>
            <w:r w:rsidRPr="00B03273">
              <w:rPr>
                <w:sz w:val="22"/>
                <w:szCs w:val="22"/>
              </w:rPr>
              <w:t xml:space="preserve"> (iv) Excepciones:</w:t>
            </w:r>
          </w:p>
          <w:p w14:paraId="7083B74E" w14:textId="77777777" w:rsidR="00B03273" w:rsidRPr="00B03273" w:rsidRDefault="00B03273" w:rsidP="00B03273">
            <w:pPr>
              <w:pStyle w:val="ListParagraph"/>
              <w:numPr>
                <w:ilvl w:val="0"/>
                <w:numId w:val="17"/>
              </w:numPr>
              <w:rPr>
                <w:bCs/>
                <w:sz w:val="22"/>
                <w:szCs w:val="22"/>
              </w:rPr>
            </w:pPr>
            <w:r w:rsidRPr="00B03273">
              <w:rPr>
                <w:sz w:val="22"/>
                <w:szCs w:val="22"/>
              </w:rPr>
              <w:t xml:space="preserve">• Los cambios según las definiciones anteriores que </w:t>
            </w:r>
            <w:proofErr w:type="gramStart"/>
            <w:r w:rsidRPr="00B03273">
              <w:rPr>
                <w:sz w:val="22"/>
                <w:szCs w:val="22"/>
              </w:rPr>
              <w:t>sean</w:t>
            </w:r>
            <w:proofErr w:type="gramEnd"/>
            <w:r w:rsidRPr="00B03273">
              <w:rPr>
                <w:sz w:val="22"/>
                <w:szCs w:val="22"/>
              </w:rPr>
              <w:t xml:space="preserve"> necesarios debido a las reglamentaciones del HUD, estatutos federales, leyes/ordenanzas estatales o locales, o como resultado de una emergencia nacional o local declarada, no se considerarán desviación sustancial o enmienda/modificación significativa.</w:t>
            </w:r>
          </w:p>
          <w:p w14:paraId="79CE1A20" w14:textId="15CEF550" w:rsidR="00427005" w:rsidRPr="00B03273" w:rsidRDefault="00B03273" w:rsidP="00B03273">
            <w:pPr>
              <w:rPr>
                <w:bCs/>
                <w:sz w:val="22"/>
                <w:szCs w:val="22"/>
              </w:rPr>
            </w:pPr>
            <w:r w:rsidRPr="00B03273">
              <w:rPr>
                <w:sz w:val="22"/>
                <w:szCs w:val="22"/>
              </w:rPr>
              <w:t>Los cambios según las definiciones anteriores que estén financiados por cualquier fuente que no sean fondos federales no requerirán enmiendas o modificaciones del Plan.</w:t>
            </w:r>
          </w:p>
        </w:tc>
      </w:tr>
      <w:tr w:rsidR="00550B2F" w:rsidRPr="0037252E" w14:paraId="4E590A2B" w14:textId="77777777" w:rsidTr="00E66566">
        <w:trPr>
          <w:cantSplit/>
          <w:trHeight w:val="998"/>
        </w:trPr>
        <w:tc>
          <w:tcPr>
            <w:tcW w:w="619" w:type="dxa"/>
          </w:tcPr>
          <w:p w14:paraId="45347213" w14:textId="77777777" w:rsidR="00E92F72" w:rsidRPr="0037252E" w:rsidRDefault="00E92F72" w:rsidP="00E02E4A">
            <w:pPr>
              <w:jc w:val="center"/>
              <w:rPr>
                <w:b/>
                <w:bCs/>
                <w:sz w:val="22"/>
                <w:szCs w:val="22"/>
              </w:rPr>
            </w:pPr>
          </w:p>
          <w:p w14:paraId="08090990" w14:textId="77777777" w:rsidR="00550B2F" w:rsidRPr="0037252E" w:rsidRDefault="00550B2F" w:rsidP="00E02E4A">
            <w:pPr>
              <w:jc w:val="center"/>
              <w:rPr>
                <w:b/>
                <w:bCs/>
                <w:sz w:val="22"/>
                <w:szCs w:val="22"/>
              </w:rPr>
            </w:pPr>
            <w:r w:rsidRPr="0037252E">
              <w:rPr>
                <w:b/>
                <w:bCs/>
                <w:sz w:val="22"/>
                <w:szCs w:val="22"/>
              </w:rPr>
              <w:t>B.</w:t>
            </w:r>
            <w:r w:rsidR="00831A03" w:rsidRPr="0037252E">
              <w:rPr>
                <w:b/>
                <w:bCs/>
                <w:sz w:val="22"/>
                <w:szCs w:val="22"/>
              </w:rPr>
              <w:t>6</w:t>
            </w:r>
          </w:p>
        </w:tc>
        <w:tc>
          <w:tcPr>
            <w:tcW w:w="10248" w:type="dxa"/>
          </w:tcPr>
          <w:p w14:paraId="5DC097CD" w14:textId="77777777" w:rsidR="006965E6" w:rsidRPr="0037252E" w:rsidRDefault="006965E6" w:rsidP="00B53BF7">
            <w:pPr>
              <w:rPr>
                <w:b/>
                <w:bCs/>
                <w:sz w:val="22"/>
                <w:szCs w:val="22"/>
              </w:rPr>
            </w:pPr>
          </w:p>
          <w:p w14:paraId="69190767" w14:textId="424D7FC6" w:rsidR="00B53BF7" w:rsidRPr="0037252E" w:rsidRDefault="00B03273" w:rsidP="00B53BF7">
            <w:pPr>
              <w:rPr>
                <w:bCs/>
                <w:sz w:val="22"/>
                <w:szCs w:val="22"/>
              </w:rPr>
            </w:pPr>
            <w:r w:rsidRPr="00B03273">
              <w:rPr>
                <w:b/>
                <w:bCs/>
                <w:sz w:val="22"/>
                <w:szCs w:val="22"/>
              </w:rPr>
              <w:t>Comentarios de la Junta Asesora de Residentes (RAB).</w:t>
            </w:r>
          </w:p>
          <w:p w14:paraId="5FC830DA" w14:textId="746811D5" w:rsidR="006965E6" w:rsidRPr="0037252E" w:rsidRDefault="00B03273" w:rsidP="00B53BF7">
            <w:pPr>
              <w:rPr>
                <w:bCs/>
                <w:sz w:val="22"/>
                <w:szCs w:val="22"/>
              </w:rPr>
            </w:pPr>
            <w:r w:rsidRPr="00B03273">
              <w:rPr>
                <w:bCs/>
                <w:sz w:val="22"/>
                <w:szCs w:val="22"/>
              </w:rPr>
              <w:t>(a) ¿</w:t>
            </w:r>
            <w:proofErr w:type="gramStart"/>
            <w:r w:rsidRPr="00B03273">
              <w:rPr>
                <w:bCs/>
                <w:sz w:val="22"/>
                <w:szCs w:val="22"/>
              </w:rPr>
              <w:t>El(</w:t>
            </w:r>
            <w:proofErr w:type="gramEnd"/>
            <w:r w:rsidRPr="00B03273">
              <w:rPr>
                <w:bCs/>
                <w:sz w:val="22"/>
                <w:szCs w:val="22"/>
              </w:rPr>
              <w:t>los) RAB(s) proporcionaron comentarios al Plan PHA de 5 años?</w:t>
            </w:r>
          </w:p>
          <w:p w14:paraId="1E070F43" w14:textId="0E6DBFBE" w:rsidR="00B53BF7" w:rsidRPr="0037252E" w:rsidRDefault="00B03273" w:rsidP="00B53BF7">
            <w:pPr>
              <w:rPr>
                <w:bCs/>
                <w:sz w:val="22"/>
                <w:szCs w:val="22"/>
              </w:rPr>
            </w:pPr>
            <w:r>
              <w:rPr>
                <w:bCs/>
                <w:sz w:val="22"/>
                <w:szCs w:val="22"/>
              </w:rPr>
              <w:t>S</w:t>
            </w:r>
            <w:r w:rsidR="00B53BF7" w:rsidRPr="0037252E">
              <w:rPr>
                <w:bCs/>
                <w:sz w:val="22"/>
                <w:szCs w:val="22"/>
              </w:rPr>
              <w:t xml:space="preserve">     N   </w:t>
            </w:r>
          </w:p>
          <w:p w14:paraId="0FE14D11" w14:textId="0B9A40A5" w:rsidR="00B53BF7" w:rsidRPr="0037252E" w:rsidRDefault="00427005" w:rsidP="00B53BF7">
            <w:pPr>
              <w:rPr>
                <w:bCs/>
                <w:sz w:val="22"/>
                <w:szCs w:val="22"/>
              </w:rPr>
            </w:pPr>
            <w:r w:rsidRPr="0037252E">
              <w:rPr>
                <w:bCs/>
                <w:sz w:val="22"/>
                <w:szCs w:val="22"/>
              </w:rPr>
              <w:fldChar w:fldCharType="begin">
                <w:ffData>
                  <w:name w:val=""/>
                  <w:enabled/>
                  <w:calcOnExit w:val="0"/>
                  <w:checkBox>
                    <w:sizeAuto/>
                    <w:default w:val="1"/>
                  </w:checkBox>
                </w:ffData>
              </w:fldChar>
            </w:r>
            <w:r w:rsidRPr="0037252E">
              <w:rPr>
                <w:bCs/>
                <w:sz w:val="22"/>
                <w:szCs w:val="22"/>
              </w:rPr>
              <w:instrText xml:space="preserve"> FORMCHECKBOX </w:instrText>
            </w:r>
            <w:r w:rsidR="009F2986">
              <w:rPr>
                <w:bCs/>
                <w:sz w:val="22"/>
                <w:szCs w:val="22"/>
              </w:rPr>
            </w:r>
            <w:r w:rsidR="009F2986">
              <w:rPr>
                <w:bCs/>
                <w:sz w:val="22"/>
                <w:szCs w:val="22"/>
              </w:rPr>
              <w:fldChar w:fldCharType="separate"/>
            </w:r>
            <w:r w:rsidRPr="0037252E">
              <w:rPr>
                <w:bCs/>
                <w:sz w:val="22"/>
                <w:szCs w:val="22"/>
              </w:rPr>
              <w:fldChar w:fldCharType="end"/>
            </w:r>
            <w:r w:rsidR="00B53BF7" w:rsidRPr="0037252E">
              <w:rPr>
                <w:bCs/>
                <w:sz w:val="22"/>
                <w:szCs w:val="22"/>
              </w:rPr>
              <w:t xml:space="preserve">  </w:t>
            </w:r>
            <w:r w:rsidR="001B2704" w:rsidRPr="0037252E">
              <w:rPr>
                <w:bCs/>
                <w:sz w:val="22"/>
                <w:szCs w:val="22"/>
              </w:rPr>
              <w:fldChar w:fldCharType="begin">
                <w:ffData>
                  <w:name w:val="Check1"/>
                  <w:enabled/>
                  <w:calcOnExit w:val="0"/>
                  <w:checkBox>
                    <w:sizeAuto/>
                    <w:default w:val="0"/>
                  </w:checkBox>
                </w:ffData>
              </w:fldChar>
            </w:r>
            <w:r w:rsidR="00B53BF7" w:rsidRPr="0037252E">
              <w:rPr>
                <w:bCs/>
                <w:sz w:val="22"/>
                <w:szCs w:val="22"/>
              </w:rPr>
              <w:instrText xml:space="preserve"> FORMCHECKBOX </w:instrText>
            </w:r>
            <w:r w:rsidR="009F2986">
              <w:rPr>
                <w:bCs/>
                <w:sz w:val="22"/>
                <w:szCs w:val="22"/>
              </w:rPr>
            </w:r>
            <w:r w:rsidR="009F2986">
              <w:rPr>
                <w:bCs/>
                <w:sz w:val="22"/>
                <w:szCs w:val="22"/>
              </w:rPr>
              <w:fldChar w:fldCharType="separate"/>
            </w:r>
            <w:r w:rsidR="001B2704" w:rsidRPr="0037252E">
              <w:rPr>
                <w:bCs/>
                <w:sz w:val="22"/>
                <w:szCs w:val="22"/>
              </w:rPr>
              <w:fldChar w:fldCharType="end"/>
            </w:r>
            <w:r w:rsidR="00B53BF7" w:rsidRPr="0037252E">
              <w:rPr>
                <w:bCs/>
                <w:sz w:val="22"/>
                <w:szCs w:val="22"/>
              </w:rPr>
              <w:t xml:space="preserve">  </w:t>
            </w:r>
          </w:p>
          <w:p w14:paraId="515642D7" w14:textId="77777777" w:rsidR="00B53BF7" w:rsidRPr="0037252E" w:rsidRDefault="00B53BF7" w:rsidP="00B53BF7">
            <w:pPr>
              <w:rPr>
                <w:bCs/>
                <w:sz w:val="22"/>
                <w:szCs w:val="22"/>
              </w:rPr>
            </w:pPr>
          </w:p>
          <w:p w14:paraId="044E8216" w14:textId="77777777" w:rsidR="00B03273" w:rsidRDefault="00B53BF7" w:rsidP="00E02E4A">
            <w:pPr>
              <w:rPr>
                <w:bCs/>
                <w:sz w:val="22"/>
                <w:szCs w:val="22"/>
              </w:rPr>
            </w:pPr>
            <w:r w:rsidRPr="0037252E">
              <w:rPr>
                <w:bCs/>
                <w:sz w:val="22"/>
                <w:szCs w:val="22"/>
              </w:rPr>
              <w:t>(</w:t>
            </w:r>
            <w:r w:rsidR="009370AC" w:rsidRPr="0037252E">
              <w:rPr>
                <w:bCs/>
                <w:sz w:val="22"/>
                <w:szCs w:val="22"/>
              </w:rPr>
              <w:t>b</w:t>
            </w:r>
            <w:r w:rsidRPr="0037252E">
              <w:rPr>
                <w:bCs/>
                <w:sz w:val="22"/>
                <w:szCs w:val="22"/>
              </w:rPr>
              <w:t xml:space="preserve">) </w:t>
            </w:r>
            <w:r w:rsidR="006C1651" w:rsidRPr="0037252E">
              <w:rPr>
                <w:bCs/>
                <w:sz w:val="22"/>
                <w:szCs w:val="22"/>
              </w:rPr>
              <w:t xml:space="preserve"> </w:t>
            </w:r>
            <w:r w:rsidR="00B03273" w:rsidRPr="00B03273">
              <w:rPr>
                <w:bCs/>
                <w:sz w:val="22"/>
                <w:szCs w:val="22"/>
              </w:rPr>
              <w:t>En caso afirmativo, la PHA debe presentar los comentarios como un archivo adjunto al Plan de la PHA de 5 años. Las PHA también deben incluir una descripción que describa su análisis de las recomendaciones del RAB y las decisiones tomadas sobre estas recomendaciones.</w:t>
            </w:r>
          </w:p>
          <w:p w14:paraId="775B941F" w14:textId="6A1A572F" w:rsidR="00550B2F" w:rsidRPr="0037252E" w:rsidRDefault="00B03273" w:rsidP="00E02E4A">
            <w:pPr>
              <w:rPr>
                <w:b/>
                <w:bCs/>
                <w:sz w:val="22"/>
                <w:szCs w:val="22"/>
              </w:rPr>
            </w:pPr>
            <w:r w:rsidRPr="00B03273">
              <w:rPr>
                <w:bCs/>
                <w:sz w:val="22"/>
                <w:szCs w:val="22"/>
              </w:rPr>
              <w:t>Si bien el STHA RAB estuvo inactivo debido a la falta de participación y la pandemia durante el año pasado, se desarrolló una encuesta y se la entregó a todos los residentes en inglés y español. La encuesta y los resultados junto con una narrativa formarán parte de esta presentación.</w:t>
            </w:r>
          </w:p>
          <w:p w14:paraId="0F4E6A84" w14:textId="77777777" w:rsidR="00550B2F" w:rsidRPr="0037252E" w:rsidRDefault="00550B2F" w:rsidP="00E02E4A">
            <w:pPr>
              <w:rPr>
                <w:b/>
                <w:bCs/>
                <w:sz w:val="22"/>
                <w:szCs w:val="22"/>
              </w:rPr>
            </w:pPr>
          </w:p>
        </w:tc>
      </w:tr>
      <w:tr w:rsidR="00D4736B" w:rsidRPr="0037252E" w14:paraId="31CD3A8B" w14:textId="77777777" w:rsidTr="00E66566">
        <w:trPr>
          <w:cantSplit/>
          <w:trHeight w:val="998"/>
        </w:trPr>
        <w:tc>
          <w:tcPr>
            <w:tcW w:w="619" w:type="dxa"/>
          </w:tcPr>
          <w:p w14:paraId="48E7E0A6" w14:textId="77777777" w:rsidR="00D4736B" w:rsidRPr="0037252E" w:rsidRDefault="00D4736B" w:rsidP="00E02E4A">
            <w:pPr>
              <w:jc w:val="center"/>
              <w:rPr>
                <w:b/>
                <w:bCs/>
                <w:sz w:val="22"/>
                <w:szCs w:val="22"/>
              </w:rPr>
            </w:pPr>
            <w:r w:rsidRPr="0037252E">
              <w:rPr>
                <w:b/>
                <w:bCs/>
                <w:sz w:val="22"/>
                <w:szCs w:val="22"/>
              </w:rPr>
              <w:t>B.</w:t>
            </w:r>
            <w:r w:rsidR="004757B4" w:rsidRPr="0037252E">
              <w:rPr>
                <w:b/>
                <w:bCs/>
                <w:sz w:val="22"/>
                <w:szCs w:val="22"/>
              </w:rPr>
              <w:t>7</w:t>
            </w:r>
          </w:p>
        </w:tc>
        <w:tc>
          <w:tcPr>
            <w:tcW w:w="10248" w:type="dxa"/>
          </w:tcPr>
          <w:p w14:paraId="1E3F6139" w14:textId="53A1463D" w:rsidR="00D4736B" w:rsidRPr="0037252E" w:rsidRDefault="00B03273" w:rsidP="00D4736B">
            <w:pPr>
              <w:rPr>
                <w:b/>
                <w:sz w:val="22"/>
                <w:szCs w:val="22"/>
              </w:rPr>
            </w:pPr>
            <w:r w:rsidRPr="00B03273">
              <w:rPr>
                <w:b/>
                <w:sz w:val="22"/>
                <w:szCs w:val="22"/>
              </w:rPr>
              <w:t>Certificación por funcionarios estatales o locales.</w:t>
            </w:r>
          </w:p>
          <w:p w14:paraId="0287E0F1" w14:textId="27875075" w:rsidR="00D4736B" w:rsidRPr="0037252E" w:rsidRDefault="009F2986" w:rsidP="00B53BF7">
            <w:pPr>
              <w:rPr>
                <w:b/>
                <w:bCs/>
                <w:sz w:val="22"/>
                <w:szCs w:val="22"/>
              </w:rPr>
            </w:pPr>
            <w:hyperlink r:id="rId9" w:history="1">
              <w:r w:rsidR="00D4736B" w:rsidRPr="0037252E">
                <w:rPr>
                  <w:rStyle w:val="Hyperlink"/>
                  <w:bCs/>
                  <w:sz w:val="22"/>
                  <w:szCs w:val="22"/>
                </w:rPr>
                <w:t>Form HUD 50077-SL</w:t>
              </w:r>
            </w:hyperlink>
            <w:r w:rsidR="00D4736B" w:rsidRPr="0037252E">
              <w:rPr>
                <w:bCs/>
                <w:sz w:val="22"/>
                <w:szCs w:val="22"/>
              </w:rPr>
              <w:t xml:space="preserve">, </w:t>
            </w:r>
            <w:r w:rsidR="00B03273" w:rsidRPr="00B03273">
              <w:rPr>
                <w:bCs/>
                <w:sz w:val="22"/>
                <w:szCs w:val="22"/>
              </w:rPr>
              <w:t>La PHA debe presentar la certificación de los funcionarios estatales o locales de la consistencia de los planes de la PHA con el Plan consolidado como un archivo adjunto electrónico al Plan de la PHA.</w:t>
            </w:r>
          </w:p>
        </w:tc>
      </w:tr>
    </w:tbl>
    <w:p w14:paraId="73DD723D" w14:textId="77777777" w:rsidR="009A5E47" w:rsidRPr="0037252E" w:rsidRDefault="009A5E47" w:rsidP="00B03273">
      <w:pPr>
        <w:ind w:left="-540" w:right="360"/>
        <w:rPr>
          <w:sz w:val="22"/>
          <w:szCs w:val="22"/>
        </w:rPr>
      </w:pPr>
    </w:p>
    <w:sectPr w:rsidR="009A5E47" w:rsidRPr="0037252E" w:rsidSect="009B08A9">
      <w:footerReference w:type="default" r:id="rId10"/>
      <w:headerReference w:type="first" r:id="rId11"/>
      <w:footerReference w:type="first" r:id="rId12"/>
      <w:pgSz w:w="12240" w:h="15840"/>
      <w:pgMar w:top="1440" w:right="1440" w:bottom="1152" w:left="1440" w:header="446" w:footer="101"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8B42F" w16cex:dateUtc="2021-08-19T14:42:00Z"/>
  <w16cex:commentExtensible w16cex:durableId="24BEA721" w16cex:dateUtc="2021-08-11T23:44:00Z"/>
  <w16cex:commentExtensible w16cex:durableId="24BEA7AC" w16cex:dateUtc="2021-08-11T23:46:00Z"/>
  <w16cex:commentExtensible w16cex:durableId="24BEA8B7" w16cex:dateUtc="2021-08-11T23:51:00Z"/>
  <w16cex:commentExtensible w16cex:durableId="24BEACEB" w16cex:dateUtc="2021-08-12T00:09:00Z"/>
  <w16cex:commentExtensible w16cex:durableId="24C8B48E" w16cex:dateUtc="2021-08-19T1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C9CA00" w16cid:durableId="24C8B42F"/>
  <w16cid:commentId w16cid:paraId="3C817668" w16cid:durableId="24BEA721"/>
  <w16cid:commentId w16cid:paraId="015E8B71" w16cid:durableId="24BEA7AC"/>
  <w16cid:commentId w16cid:paraId="00CEED54" w16cid:durableId="24BEA8B7"/>
  <w16cid:commentId w16cid:paraId="729AABEA" w16cid:durableId="24BEACEB"/>
  <w16cid:commentId w16cid:paraId="0456621D" w16cid:durableId="24C8B4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AB36E" w14:textId="77777777" w:rsidR="009F2986" w:rsidRDefault="009F2986" w:rsidP="009C5FD6">
      <w:r>
        <w:separator/>
      </w:r>
    </w:p>
  </w:endnote>
  <w:endnote w:type="continuationSeparator" w:id="0">
    <w:p w14:paraId="381D4B19" w14:textId="77777777" w:rsidR="009F2986" w:rsidRDefault="009F2986" w:rsidP="009C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4BBE9" w14:textId="77777777" w:rsidR="0040633F" w:rsidRPr="00BD6EA4" w:rsidRDefault="0040633F" w:rsidP="005374F8">
    <w:pPr>
      <w:pStyle w:val="Footer"/>
      <w:pBdr>
        <w:top w:val="single" w:sz="4" w:space="1" w:color="auto"/>
      </w:pBdr>
      <w:tabs>
        <w:tab w:val="clear" w:pos="9360"/>
      </w:tabs>
      <w:ind w:hanging="540"/>
      <w:rPr>
        <w:sz w:val="16"/>
        <w:szCs w:val="16"/>
      </w:rPr>
    </w:pPr>
    <w:r>
      <w:rPr>
        <w:sz w:val="16"/>
        <w:szCs w:val="16"/>
      </w:rPr>
      <w:tab/>
      <w:t xml:space="preserve">        </w:t>
    </w:r>
    <w:r w:rsidR="00FF6DC9">
      <w:rPr>
        <w:sz w:val="16"/>
        <w:szCs w:val="16"/>
      </w:rPr>
      <w:tab/>
    </w:r>
    <w:r w:rsidRPr="00BD6EA4">
      <w:rPr>
        <w:sz w:val="16"/>
        <w:szCs w:val="16"/>
      </w:rPr>
      <w:t xml:space="preserve">Page </w:t>
    </w:r>
    <w:r w:rsidR="001B2704" w:rsidRPr="00BD6EA4">
      <w:rPr>
        <w:b/>
        <w:sz w:val="16"/>
        <w:szCs w:val="16"/>
      </w:rPr>
      <w:fldChar w:fldCharType="begin"/>
    </w:r>
    <w:r w:rsidRPr="00BD6EA4">
      <w:rPr>
        <w:b/>
        <w:sz w:val="16"/>
        <w:szCs w:val="16"/>
      </w:rPr>
      <w:instrText xml:space="preserve"> PAGE </w:instrText>
    </w:r>
    <w:r w:rsidR="001B2704" w:rsidRPr="00BD6EA4">
      <w:rPr>
        <w:b/>
        <w:sz w:val="16"/>
        <w:szCs w:val="16"/>
      </w:rPr>
      <w:fldChar w:fldCharType="separate"/>
    </w:r>
    <w:r w:rsidR="00470847">
      <w:rPr>
        <w:b/>
        <w:noProof/>
        <w:sz w:val="16"/>
        <w:szCs w:val="16"/>
      </w:rPr>
      <w:t>7</w:t>
    </w:r>
    <w:r w:rsidR="001B2704" w:rsidRPr="00BD6EA4">
      <w:rPr>
        <w:b/>
        <w:sz w:val="16"/>
        <w:szCs w:val="16"/>
      </w:rPr>
      <w:fldChar w:fldCharType="end"/>
    </w:r>
    <w:r w:rsidRPr="00BD6EA4">
      <w:rPr>
        <w:sz w:val="16"/>
        <w:szCs w:val="16"/>
      </w:rPr>
      <w:t xml:space="preserve"> of </w:t>
    </w:r>
    <w:r w:rsidR="001B2704" w:rsidRPr="00BD6EA4">
      <w:rPr>
        <w:b/>
        <w:sz w:val="16"/>
        <w:szCs w:val="16"/>
      </w:rPr>
      <w:fldChar w:fldCharType="begin"/>
    </w:r>
    <w:r w:rsidRPr="00BD6EA4">
      <w:rPr>
        <w:b/>
        <w:sz w:val="16"/>
        <w:szCs w:val="16"/>
      </w:rPr>
      <w:instrText xml:space="preserve"> NUMPAGES  </w:instrText>
    </w:r>
    <w:r w:rsidR="001B2704" w:rsidRPr="00BD6EA4">
      <w:rPr>
        <w:b/>
        <w:sz w:val="16"/>
        <w:szCs w:val="16"/>
      </w:rPr>
      <w:fldChar w:fldCharType="separate"/>
    </w:r>
    <w:r w:rsidR="00470847">
      <w:rPr>
        <w:b/>
        <w:noProof/>
        <w:sz w:val="16"/>
        <w:szCs w:val="16"/>
      </w:rPr>
      <w:t>7</w:t>
    </w:r>
    <w:r w:rsidR="001B2704" w:rsidRPr="00BD6EA4">
      <w:rPr>
        <w:b/>
        <w:sz w:val="16"/>
        <w:szCs w:val="16"/>
      </w:rPr>
      <w:fldChar w:fldCharType="end"/>
    </w:r>
    <w:r>
      <w:rPr>
        <w:sz w:val="16"/>
        <w:szCs w:val="16"/>
      </w:rPr>
      <w:t xml:space="preserve"> </w:t>
    </w:r>
    <w:r>
      <w:rPr>
        <w:sz w:val="16"/>
        <w:szCs w:val="16"/>
      </w:rPr>
      <w:tab/>
      <w:t xml:space="preserve">                                           </w:t>
    </w:r>
    <w:r w:rsidRPr="00BD6EA4">
      <w:rPr>
        <w:b/>
        <w:sz w:val="16"/>
        <w:szCs w:val="16"/>
      </w:rPr>
      <w:t>form HUD-50075</w:t>
    </w:r>
    <w:r>
      <w:rPr>
        <w:b/>
        <w:sz w:val="16"/>
        <w:szCs w:val="16"/>
      </w:rPr>
      <w:t>-5Y</w:t>
    </w:r>
    <w:r>
      <w:rPr>
        <w:sz w:val="16"/>
        <w:szCs w:val="16"/>
      </w:rPr>
      <w:t xml:space="preserve"> (</w:t>
    </w:r>
    <w:r w:rsidR="00EC7E70">
      <w:rPr>
        <w:sz w:val="16"/>
        <w:szCs w:val="16"/>
      </w:rPr>
      <w:t>12</w:t>
    </w:r>
    <w:r>
      <w:rPr>
        <w:sz w:val="16"/>
        <w:szCs w:val="16"/>
      </w:rPr>
      <w:t>/201</w:t>
    </w:r>
    <w:r w:rsidR="00737BB0">
      <w:rPr>
        <w:sz w:val="16"/>
        <w:szCs w:val="16"/>
      </w:rPr>
      <w:t>4</w:t>
    </w:r>
    <w:r>
      <w:rPr>
        <w:sz w:val="16"/>
        <w:szCs w:val="16"/>
      </w:rPr>
      <w:t>)</w:t>
    </w:r>
  </w:p>
  <w:p w14:paraId="3FB9A77F" w14:textId="77777777" w:rsidR="0040633F" w:rsidRDefault="004063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38B32" w14:textId="77777777" w:rsidR="0040633F" w:rsidRPr="00BD6EA4" w:rsidRDefault="007338ED" w:rsidP="001D4881">
    <w:pPr>
      <w:pStyle w:val="Footer"/>
      <w:pBdr>
        <w:top w:val="single" w:sz="4" w:space="1" w:color="auto"/>
      </w:pBdr>
      <w:tabs>
        <w:tab w:val="clear" w:pos="9360"/>
      </w:tabs>
      <w:ind w:hanging="540"/>
      <w:rPr>
        <w:sz w:val="16"/>
        <w:szCs w:val="16"/>
      </w:rPr>
    </w:pPr>
    <w:r>
      <w:rPr>
        <w:sz w:val="16"/>
        <w:szCs w:val="16"/>
      </w:rPr>
      <w:tab/>
    </w:r>
    <w:r w:rsidR="0040633F">
      <w:rPr>
        <w:sz w:val="16"/>
        <w:szCs w:val="16"/>
      </w:rPr>
      <w:tab/>
      <w:t xml:space="preserve">       </w:t>
    </w:r>
    <w:r w:rsidR="0040633F" w:rsidRPr="00BD6EA4">
      <w:rPr>
        <w:sz w:val="16"/>
        <w:szCs w:val="16"/>
      </w:rPr>
      <w:t xml:space="preserve">Page </w:t>
    </w:r>
    <w:r w:rsidR="001B2704" w:rsidRPr="00BD6EA4">
      <w:rPr>
        <w:b/>
        <w:sz w:val="16"/>
        <w:szCs w:val="16"/>
      </w:rPr>
      <w:fldChar w:fldCharType="begin"/>
    </w:r>
    <w:r w:rsidR="0040633F" w:rsidRPr="00BD6EA4">
      <w:rPr>
        <w:b/>
        <w:sz w:val="16"/>
        <w:szCs w:val="16"/>
      </w:rPr>
      <w:instrText xml:space="preserve"> PAGE </w:instrText>
    </w:r>
    <w:r w:rsidR="001B2704" w:rsidRPr="00BD6EA4">
      <w:rPr>
        <w:b/>
        <w:sz w:val="16"/>
        <w:szCs w:val="16"/>
      </w:rPr>
      <w:fldChar w:fldCharType="separate"/>
    </w:r>
    <w:r w:rsidR="00470847">
      <w:rPr>
        <w:b/>
        <w:noProof/>
        <w:sz w:val="16"/>
        <w:szCs w:val="16"/>
      </w:rPr>
      <w:t>1</w:t>
    </w:r>
    <w:r w:rsidR="001B2704" w:rsidRPr="00BD6EA4">
      <w:rPr>
        <w:b/>
        <w:sz w:val="16"/>
        <w:szCs w:val="16"/>
      </w:rPr>
      <w:fldChar w:fldCharType="end"/>
    </w:r>
    <w:r w:rsidR="0040633F" w:rsidRPr="00BD6EA4">
      <w:rPr>
        <w:sz w:val="16"/>
        <w:szCs w:val="16"/>
      </w:rPr>
      <w:t xml:space="preserve"> of </w:t>
    </w:r>
    <w:r w:rsidR="001B2704" w:rsidRPr="00BD6EA4">
      <w:rPr>
        <w:b/>
        <w:sz w:val="16"/>
        <w:szCs w:val="16"/>
      </w:rPr>
      <w:fldChar w:fldCharType="begin"/>
    </w:r>
    <w:r w:rsidR="0040633F" w:rsidRPr="00BD6EA4">
      <w:rPr>
        <w:b/>
        <w:sz w:val="16"/>
        <w:szCs w:val="16"/>
      </w:rPr>
      <w:instrText xml:space="preserve"> NUMPAGES  </w:instrText>
    </w:r>
    <w:r w:rsidR="001B2704" w:rsidRPr="00BD6EA4">
      <w:rPr>
        <w:b/>
        <w:sz w:val="16"/>
        <w:szCs w:val="16"/>
      </w:rPr>
      <w:fldChar w:fldCharType="separate"/>
    </w:r>
    <w:r w:rsidR="00470847">
      <w:rPr>
        <w:b/>
        <w:noProof/>
        <w:sz w:val="16"/>
        <w:szCs w:val="16"/>
      </w:rPr>
      <w:t>7</w:t>
    </w:r>
    <w:r w:rsidR="001B2704" w:rsidRPr="00BD6EA4">
      <w:rPr>
        <w:b/>
        <w:sz w:val="16"/>
        <w:szCs w:val="16"/>
      </w:rPr>
      <w:fldChar w:fldCharType="end"/>
    </w:r>
    <w:r w:rsidR="0040633F">
      <w:rPr>
        <w:sz w:val="16"/>
        <w:szCs w:val="16"/>
      </w:rPr>
      <w:t xml:space="preserve"> </w:t>
    </w:r>
    <w:r w:rsidR="0040633F">
      <w:rPr>
        <w:sz w:val="16"/>
        <w:szCs w:val="16"/>
      </w:rPr>
      <w:tab/>
      <w:t xml:space="preserve">            </w:t>
    </w:r>
    <w:r>
      <w:rPr>
        <w:sz w:val="16"/>
        <w:szCs w:val="16"/>
      </w:rPr>
      <w:t xml:space="preserve">                               </w:t>
    </w:r>
    <w:r w:rsidR="0040633F" w:rsidRPr="00BD6EA4">
      <w:rPr>
        <w:b/>
        <w:sz w:val="16"/>
        <w:szCs w:val="16"/>
      </w:rPr>
      <w:t>form HUD-50075</w:t>
    </w:r>
    <w:r w:rsidR="0040633F">
      <w:rPr>
        <w:b/>
        <w:sz w:val="16"/>
        <w:szCs w:val="16"/>
      </w:rPr>
      <w:t>-5Y</w:t>
    </w:r>
    <w:r w:rsidR="0040633F">
      <w:rPr>
        <w:sz w:val="16"/>
        <w:szCs w:val="16"/>
      </w:rPr>
      <w:t xml:space="preserve"> (</w:t>
    </w:r>
    <w:r w:rsidR="00EC7E70">
      <w:rPr>
        <w:sz w:val="16"/>
        <w:szCs w:val="16"/>
      </w:rPr>
      <w:t>12</w:t>
    </w:r>
    <w:r w:rsidR="0040633F">
      <w:rPr>
        <w:sz w:val="16"/>
        <w:szCs w:val="16"/>
      </w:rPr>
      <w:t>/201</w:t>
    </w:r>
    <w:r w:rsidR="00737BB0">
      <w:rPr>
        <w:sz w:val="16"/>
        <w:szCs w:val="16"/>
      </w:rPr>
      <w:t>4</w:t>
    </w:r>
    <w:r w:rsidR="0040633F">
      <w:rPr>
        <w:sz w:val="16"/>
        <w:szCs w:val="16"/>
      </w:rPr>
      <w:t>)</w:t>
    </w:r>
  </w:p>
  <w:p w14:paraId="651FF25A" w14:textId="77777777" w:rsidR="0040633F" w:rsidRPr="005E4DCE" w:rsidRDefault="0040633F" w:rsidP="00F92AE3">
    <w:pPr>
      <w:ind w:left="-540"/>
    </w:pPr>
  </w:p>
  <w:p w14:paraId="15A143D6" w14:textId="77777777" w:rsidR="0040633F" w:rsidRPr="00F92AE3" w:rsidRDefault="0040633F" w:rsidP="007465BF">
    <w:pPr>
      <w:pStyle w:val="Footer"/>
      <w:ind w:left="-540"/>
      <w:jc w:val="right"/>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518F1" w14:textId="77777777" w:rsidR="009F2986" w:rsidRDefault="009F2986" w:rsidP="009C5FD6">
      <w:r>
        <w:separator/>
      </w:r>
    </w:p>
  </w:footnote>
  <w:footnote w:type="continuationSeparator" w:id="0">
    <w:p w14:paraId="2CC642E3" w14:textId="77777777" w:rsidR="009F2986" w:rsidRDefault="009F2986" w:rsidP="009C5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6D6BA" w14:textId="77777777" w:rsidR="0040633F" w:rsidRDefault="0040633F" w:rsidP="00E932F2">
    <w:pPr>
      <w:ind w:left="-540"/>
    </w:pPr>
  </w:p>
  <w:p w14:paraId="58887C94" w14:textId="77777777" w:rsidR="0040633F" w:rsidRDefault="0040633F"/>
  <w:tbl>
    <w:tblPr>
      <w:tblW w:w="10260" w:type="dxa"/>
      <w:tblInd w:w="-432" w:type="dxa"/>
      <w:tblLayout w:type="fixed"/>
      <w:tblLook w:val="0000" w:firstRow="0" w:lastRow="0" w:firstColumn="0" w:lastColumn="0" w:noHBand="0" w:noVBand="0"/>
    </w:tblPr>
    <w:tblGrid>
      <w:gridCol w:w="3240"/>
      <w:gridCol w:w="4950"/>
      <w:gridCol w:w="2070"/>
    </w:tblGrid>
    <w:tr w:rsidR="0040633F" w14:paraId="7E014BEA" w14:textId="77777777" w:rsidTr="00FC7CA7">
      <w:trPr>
        <w:trHeight w:val="674"/>
      </w:trPr>
      <w:tc>
        <w:tcPr>
          <w:tcW w:w="3240" w:type="dxa"/>
          <w:tcBorders>
            <w:top w:val="single" w:sz="12" w:space="0" w:color="auto"/>
            <w:left w:val="single" w:sz="12" w:space="0" w:color="auto"/>
            <w:bottom w:val="single" w:sz="4" w:space="0" w:color="auto"/>
            <w:right w:val="single" w:sz="12" w:space="0" w:color="auto"/>
          </w:tcBorders>
        </w:tcPr>
        <w:p w14:paraId="07201FE6" w14:textId="77777777" w:rsidR="0040633F" w:rsidRDefault="0040633F" w:rsidP="00A112C9">
          <w:pPr>
            <w:pStyle w:val="Footer"/>
            <w:rPr>
              <w:b/>
              <w:sz w:val="36"/>
              <w:szCs w:val="36"/>
            </w:rPr>
          </w:pPr>
          <w:r>
            <w:rPr>
              <w:b/>
              <w:sz w:val="36"/>
              <w:szCs w:val="36"/>
            </w:rPr>
            <w:t xml:space="preserve">5-Year </w:t>
          </w:r>
          <w:r w:rsidRPr="002F3143">
            <w:rPr>
              <w:b/>
              <w:sz w:val="36"/>
              <w:szCs w:val="36"/>
            </w:rPr>
            <w:t>PHA Plan</w:t>
          </w:r>
        </w:p>
        <w:p w14:paraId="76745DC5" w14:textId="77777777" w:rsidR="0040633F" w:rsidRPr="00FC7CA7" w:rsidRDefault="00405418" w:rsidP="0094592A">
          <w:pPr>
            <w:pStyle w:val="Footer"/>
            <w:rPr>
              <w:b/>
              <w:i/>
              <w:sz w:val="36"/>
              <w:szCs w:val="36"/>
            </w:rPr>
          </w:pPr>
          <w:r>
            <w:rPr>
              <w:b/>
              <w:i/>
              <w:sz w:val="36"/>
              <w:szCs w:val="36"/>
            </w:rPr>
            <w:t xml:space="preserve">(for </w:t>
          </w:r>
          <w:r w:rsidR="0040633F">
            <w:rPr>
              <w:b/>
              <w:i/>
              <w:sz w:val="36"/>
              <w:szCs w:val="36"/>
            </w:rPr>
            <w:t>All P</w:t>
          </w:r>
          <w:r w:rsidR="0040633F" w:rsidRPr="00FC7CA7">
            <w:rPr>
              <w:b/>
              <w:i/>
              <w:sz w:val="36"/>
              <w:szCs w:val="36"/>
            </w:rPr>
            <w:t>HAs</w:t>
          </w:r>
          <w:r>
            <w:rPr>
              <w:b/>
              <w:i/>
              <w:sz w:val="36"/>
              <w:szCs w:val="36"/>
            </w:rPr>
            <w:t>)</w:t>
          </w:r>
        </w:p>
      </w:tc>
      <w:tc>
        <w:tcPr>
          <w:tcW w:w="4950" w:type="dxa"/>
          <w:tcBorders>
            <w:top w:val="single" w:sz="12" w:space="0" w:color="auto"/>
            <w:left w:val="single" w:sz="12" w:space="0" w:color="auto"/>
            <w:bottom w:val="single" w:sz="4" w:space="0" w:color="auto"/>
            <w:right w:val="single" w:sz="12" w:space="0" w:color="auto"/>
          </w:tcBorders>
        </w:tcPr>
        <w:p w14:paraId="693E36A4" w14:textId="77777777" w:rsidR="0040633F" w:rsidRPr="00611E36" w:rsidRDefault="0040633F" w:rsidP="00E02E4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w:eastAsia="Times New Roman" w:hAnsi="Times"/>
              <w:b/>
              <w:bCs/>
            </w:rPr>
          </w:pPr>
          <w:r w:rsidRPr="00611E36">
            <w:rPr>
              <w:rFonts w:ascii="Times" w:eastAsia="Times New Roman" w:hAnsi="Times"/>
              <w:b/>
              <w:bCs/>
            </w:rPr>
            <w:t>U.S. Department of Housing and Urban Development</w:t>
          </w:r>
        </w:p>
        <w:p w14:paraId="12C316F6" w14:textId="77777777" w:rsidR="0040633F" w:rsidRPr="007465BF" w:rsidRDefault="0040633F" w:rsidP="00E02E4A">
          <w:pPr>
            <w:pStyle w:val="Footer"/>
            <w:rPr>
              <w:b/>
              <w:bCs/>
            </w:rPr>
          </w:pPr>
          <w:r w:rsidRPr="007465BF">
            <w:rPr>
              <w:rFonts w:ascii="Times" w:hAnsi="Times"/>
              <w:b/>
              <w:bCs/>
              <w:sz w:val="20"/>
              <w:szCs w:val="20"/>
            </w:rPr>
            <w:t>Office of Public and Indian Housing</w:t>
          </w:r>
        </w:p>
      </w:tc>
      <w:tc>
        <w:tcPr>
          <w:tcW w:w="2070" w:type="dxa"/>
          <w:tcBorders>
            <w:top w:val="single" w:sz="12" w:space="0" w:color="auto"/>
            <w:left w:val="single" w:sz="12" w:space="0" w:color="auto"/>
            <w:bottom w:val="single" w:sz="4" w:space="0" w:color="auto"/>
            <w:right w:val="single" w:sz="12" w:space="0" w:color="auto"/>
          </w:tcBorders>
        </w:tcPr>
        <w:p w14:paraId="615485A0" w14:textId="77777777" w:rsidR="0040633F" w:rsidRPr="007465BF" w:rsidRDefault="0040633F" w:rsidP="009C5FD6">
          <w:pPr>
            <w:pStyle w:val="Footer"/>
            <w:ind w:right="-324"/>
            <w:rPr>
              <w:b/>
              <w:bCs/>
              <w:sz w:val="20"/>
              <w:szCs w:val="20"/>
            </w:rPr>
          </w:pPr>
          <w:r w:rsidRPr="007465BF">
            <w:rPr>
              <w:b/>
              <w:bCs/>
              <w:sz w:val="20"/>
              <w:szCs w:val="20"/>
            </w:rPr>
            <w:t>OMB No. 2577-0226</w:t>
          </w:r>
        </w:p>
        <w:p w14:paraId="0297360D" w14:textId="77777777" w:rsidR="0040633F" w:rsidRPr="007465BF" w:rsidRDefault="0040633F" w:rsidP="00EC7E70">
          <w:pPr>
            <w:pStyle w:val="Footer"/>
            <w:rPr>
              <w:b/>
              <w:bCs/>
            </w:rPr>
          </w:pPr>
          <w:r w:rsidRPr="007465BF">
            <w:rPr>
              <w:b/>
              <w:bCs/>
              <w:sz w:val="20"/>
              <w:szCs w:val="20"/>
            </w:rPr>
            <w:t xml:space="preserve">Expires:  </w:t>
          </w:r>
          <w:r w:rsidR="00EC7E70">
            <w:rPr>
              <w:b/>
              <w:bCs/>
              <w:sz w:val="20"/>
              <w:szCs w:val="20"/>
            </w:rPr>
            <w:t>02/29/2016</w:t>
          </w:r>
          <w:r w:rsidRPr="007465BF">
            <w:rPr>
              <w:b/>
              <w:bCs/>
            </w:rPr>
            <w:t xml:space="preserve"> </w:t>
          </w:r>
        </w:p>
      </w:tc>
    </w:tr>
  </w:tbl>
  <w:p w14:paraId="12CA3CE2" w14:textId="77777777" w:rsidR="00ED55D0" w:rsidRDefault="00ED55D0">
    <w:pPr>
      <w:ind w:left="-540" w:right="540"/>
      <w:rPr>
        <w:sz w:val="16"/>
        <w:szCs w:val="16"/>
      </w:rPr>
    </w:pPr>
    <w:r>
      <w:rPr>
        <w:b/>
        <w:bCs/>
        <w:color w:val="000000"/>
        <w:sz w:val="16"/>
        <w:szCs w:val="16"/>
      </w:rPr>
      <w:t xml:space="preserve">Purpose.  </w:t>
    </w:r>
    <w:r>
      <w:rPr>
        <w:sz w:val="16"/>
        <w:szCs w:val="16"/>
      </w:rPr>
      <w:t>The 5-Year and Annual PHA Plans provide a ready source for interested parties to locate basic PHA policies, rules, and requirements concerning the PHA’s operations, programs, and services, and informs HUD, families served by the PHA, and members of the public of the PHA’s mission, goals and objectives for serving the needs of low- income, very low- income, and extremely low- income families</w:t>
    </w:r>
  </w:p>
  <w:p w14:paraId="738E71A8" w14:textId="77777777" w:rsidR="00ED55D0" w:rsidRDefault="00ED55D0">
    <w:pPr>
      <w:ind w:left="-540" w:right="540"/>
      <w:rPr>
        <w:b/>
        <w:bCs/>
        <w:color w:val="000000"/>
        <w:sz w:val="16"/>
        <w:szCs w:val="16"/>
      </w:rPr>
    </w:pPr>
  </w:p>
  <w:p w14:paraId="3AAB25C7" w14:textId="77777777" w:rsidR="00266FD1" w:rsidRDefault="00115C3E">
    <w:pPr>
      <w:ind w:left="-540" w:right="540"/>
      <w:rPr>
        <w:sz w:val="16"/>
        <w:szCs w:val="16"/>
      </w:rPr>
    </w:pPr>
    <w:r>
      <w:rPr>
        <w:b/>
        <w:bCs/>
        <w:color w:val="000000"/>
        <w:sz w:val="16"/>
        <w:szCs w:val="16"/>
      </w:rPr>
      <w:t xml:space="preserve">Applicability.  </w:t>
    </w:r>
    <w:r w:rsidR="0040633F">
      <w:rPr>
        <w:b/>
        <w:bCs/>
        <w:color w:val="000000"/>
        <w:sz w:val="16"/>
        <w:szCs w:val="16"/>
      </w:rPr>
      <w:t>Form HUD-50075-5Y</w:t>
    </w:r>
    <w:r w:rsidR="0040633F" w:rsidRPr="00927900">
      <w:rPr>
        <w:bCs/>
        <w:color w:val="000000"/>
        <w:sz w:val="16"/>
        <w:szCs w:val="16"/>
      </w:rPr>
      <w:t xml:space="preserve"> is to be completed </w:t>
    </w:r>
    <w:r w:rsidR="0040633F">
      <w:rPr>
        <w:bCs/>
        <w:color w:val="000000"/>
        <w:sz w:val="16"/>
        <w:szCs w:val="16"/>
      </w:rPr>
      <w:t xml:space="preserve">once every 5 PHA fiscal years </w:t>
    </w:r>
    <w:r w:rsidR="0040633F" w:rsidRPr="00927900">
      <w:rPr>
        <w:bCs/>
        <w:color w:val="000000"/>
        <w:sz w:val="16"/>
        <w:szCs w:val="16"/>
      </w:rPr>
      <w:t>by</w:t>
    </w:r>
    <w:r w:rsidR="0040633F">
      <w:rPr>
        <w:bCs/>
        <w:color w:val="000000"/>
        <w:sz w:val="16"/>
        <w:szCs w:val="16"/>
      </w:rPr>
      <w:t xml:space="preserve"> all PHAs</w:t>
    </w:r>
    <w:r w:rsidR="009370AC">
      <w:rPr>
        <w:bCs/>
        <w:color w:val="000000"/>
        <w:sz w:val="16"/>
        <w:szCs w:val="16"/>
      </w:rPr>
      <w:t>.</w:t>
    </w:r>
  </w:p>
  <w:p w14:paraId="52D524EC" w14:textId="77777777" w:rsidR="0040633F" w:rsidRDefault="0040633F" w:rsidP="009309F7">
    <w:pPr>
      <w:pBdr>
        <w:bottom w:val="double" w:sz="6" w:space="1" w:color="auto"/>
      </w:pBd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5744"/>
    <w:multiLevelType w:val="hybridMultilevel"/>
    <w:tmpl w:val="8230D2F0"/>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08252C3B"/>
    <w:multiLevelType w:val="hybridMultilevel"/>
    <w:tmpl w:val="1C125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0841EA"/>
    <w:multiLevelType w:val="hybridMultilevel"/>
    <w:tmpl w:val="56A6ACF8"/>
    <w:lvl w:ilvl="0" w:tplc="7A7450B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C5F95"/>
    <w:multiLevelType w:val="hybridMultilevel"/>
    <w:tmpl w:val="F4FE78D0"/>
    <w:lvl w:ilvl="0" w:tplc="7CFEAFB4">
      <w:start w:val="1"/>
      <w:numFmt w:val="decimal"/>
      <w:lvlText w:val="%1."/>
      <w:lvlJc w:val="left"/>
      <w:pPr>
        <w:ind w:left="765" w:hanging="360"/>
      </w:pPr>
      <w:rPr>
        <w:rFonts w:cs="Times New Roman" w:hint="default"/>
        <w:b/>
        <w:sz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0ECE2A8F"/>
    <w:multiLevelType w:val="hybridMultilevel"/>
    <w:tmpl w:val="7A76A4EA"/>
    <w:lvl w:ilvl="0" w:tplc="DD524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11DA9"/>
    <w:multiLevelType w:val="hybridMultilevel"/>
    <w:tmpl w:val="02A014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9D4C2C"/>
    <w:multiLevelType w:val="multilevel"/>
    <w:tmpl w:val="1D3859D4"/>
    <w:styleLink w:val="Style1"/>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7567293"/>
    <w:multiLevelType w:val="hybridMultilevel"/>
    <w:tmpl w:val="24B6DD2A"/>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422754"/>
    <w:multiLevelType w:val="hybridMultilevel"/>
    <w:tmpl w:val="4DA8985A"/>
    <w:lvl w:ilvl="0" w:tplc="64F0B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072F6F"/>
    <w:multiLevelType w:val="hybridMultilevel"/>
    <w:tmpl w:val="4CDAA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9E286E"/>
    <w:multiLevelType w:val="hybridMultilevel"/>
    <w:tmpl w:val="85FE04B6"/>
    <w:lvl w:ilvl="0" w:tplc="50C28C3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665A0"/>
    <w:multiLevelType w:val="hybridMultilevel"/>
    <w:tmpl w:val="AFBAE086"/>
    <w:lvl w:ilvl="0" w:tplc="35DA3A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E4789"/>
    <w:multiLevelType w:val="hybridMultilevel"/>
    <w:tmpl w:val="F238D2C6"/>
    <w:lvl w:ilvl="0" w:tplc="050282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2506B6"/>
    <w:multiLevelType w:val="hybridMultilevel"/>
    <w:tmpl w:val="3AE015F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15:restartNumberingAfterBreak="0">
    <w:nsid w:val="369E77EF"/>
    <w:multiLevelType w:val="hybridMultilevel"/>
    <w:tmpl w:val="C9823E66"/>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5" w15:restartNumberingAfterBreak="0">
    <w:nsid w:val="36F46828"/>
    <w:multiLevelType w:val="hybridMultilevel"/>
    <w:tmpl w:val="8F5E8BF6"/>
    <w:lvl w:ilvl="0" w:tplc="006A1FA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B0797"/>
    <w:multiLevelType w:val="hybridMultilevel"/>
    <w:tmpl w:val="ED28D4D6"/>
    <w:lvl w:ilvl="0" w:tplc="D0C23C2C">
      <w:start w:val="1"/>
      <w:numFmt w:val="decimal"/>
      <w:lvlText w:val="(%1)"/>
      <w:lvlJc w:val="left"/>
      <w:pPr>
        <w:ind w:left="108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8B5968"/>
    <w:multiLevelType w:val="hybridMultilevel"/>
    <w:tmpl w:val="D444E2B0"/>
    <w:lvl w:ilvl="0" w:tplc="0C1286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9D1A3F"/>
    <w:multiLevelType w:val="hybridMultilevel"/>
    <w:tmpl w:val="B96C0156"/>
    <w:lvl w:ilvl="0" w:tplc="B294763E">
      <w:start w:val="1"/>
      <w:numFmt w:val="lowerLetter"/>
      <w:lvlText w:val="(%1)"/>
      <w:lvlJc w:val="left"/>
      <w:pPr>
        <w:ind w:left="720" w:hanging="360"/>
      </w:pPr>
      <w:rPr>
        <w:rFonts w:cs="Arial"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9A234B"/>
    <w:multiLevelType w:val="hybridMultilevel"/>
    <w:tmpl w:val="D10AF35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ED1807"/>
    <w:multiLevelType w:val="multilevel"/>
    <w:tmpl w:val="9ADC61C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510F65D2"/>
    <w:multiLevelType w:val="hybridMultilevel"/>
    <w:tmpl w:val="022C9644"/>
    <w:lvl w:ilvl="0" w:tplc="59B4A00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014081"/>
    <w:multiLevelType w:val="hybridMultilevel"/>
    <w:tmpl w:val="C2582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034863"/>
    <w:multiLevelType w:val="hybridMultilevel"/>
    <w:tmpl w:val="6E5A1548"/>
    <w:lvl w:ilvl="0" w:tplc="B9E4EC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814028"/>
    <w:multiLevelType w:val="multilevel"/>
    <w:tmpl w:val="1D3859D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4BF26E7"/>
    <w:multiLevelType w:val="hybridMultilevel"/>
    <w:tmpl w:val="CC14B21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6" w15:restartNumberingAfterBreak="0">
    <w:nsid w:val="78AB1702"/>
    <w:multiLevelType w:val="hybridMultilevel"/>
    <w:tmpl w:val="D23868F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7" w15:restartNumberingAfterBreak="0">
    <w:nsid w:val="7D7E2D02"/>
    <w:multiLevelType w:val="hybridMultilevel"/>
    <w:tmpl w:val="ED28D4D6"/>
    <w:lvl w:ilvl="0" w:tplc="D0C23C2C">
      <w:start w:val="1"/>
      <w:numFmt w:val="decimal"/>
      <w:lvlText w:val="(%1)"/>
      <w:lvlJc w:val="left"/>
      <w:pPr>
        <w:ind w:left="144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E112967"/>
    <w:multiLevelType w:val="hybridMultilevel"/>
    <w:tmpl w:val="ED28D4D6"/>
    <w:lvl w:ilvl="0" w:tplc="D0C23C2C">
      <w:start w:val="1"/>
      <w:numFmt w:val="decimal"/>
      <w:lvlText w:val="(%1)"/>
      <w:lvlJc w:val="left"/>
      <w:pPr>
        <w:ind w:left="1080" w:hanging="360"/>
      </w:pPr>
      <w:rPr>
        <w:rFonts w:ascii="Times New Roman" w:eastAsia="Times New Roman" w:hAnsi="Times New Roman" w:cs="Times New Roman"/>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
  </w:num>
  <w:num w:numId="3">
    <w:abstractNumId w:val="18"/>
  </w:num>
  <w:num w:numId="4">
    <w:abstractNumId w:val="28"/>
  </w:num>
  <w:num w:numId="5">
    <w:abstractNumId w:val="15"/>
  </w:num>
  <w:num w:numId="6">
    <w:abstractNumId w:val="4"/>
  </w:num>
  <w:num w:numId="7">
    <w:abstractNumId w:val="11"/>
  </w:num>
  <w:num w:numId="8">
    <w:abstractNumId w:val="10"/>
  </w:num>
  <w:num w:numId="9">
    <w:abstractNumId w:val="16"/>
  </w:num>
  <w:num w:numId="10">
    <w:abstractNumId w:val="23"/>
  </w:num>
  <w:num w:numId="11">
    <w:abstractNumId w:val="27"/>
  </w:num>
  <w:num w:numId="12">
    <w:abstractNumId w:val="8"/>
  </w:num>
  <w:num w:numId="13">
    <w:abstractNumId w:val="12"/>
  </w:num>
  <w:num w:numId="14">
    <w:abstractNumId w:val="19"/>
  </w:num>
  <w:num w:numId="15">
    <w:abstractNumId w:val="22"/>
  </w:num>
  <w:num w:numId="16">
    <w:abstractNumId w:val="0"/>
  </w:num>
  <w:num w:numId="17">
    <w:abstractNumId w:val="9"/>
  </w:num>
  <w:num w:numId="18">
    <w:abstractNumId w:val="1"/>
  </w:num>
  <w:num w:numId="19">
    <w:abstractNumId w:val="21"/>
  </w:num>
  <w:num w:numId="20">
    <w:abstractNumId w:val="20"/>
  </w:num>
  <w:num w:numId="21">
    <w:abstractNumId w:val="24"/>
  </w:num>
  <w:num w:numId="22">
    <w:abstractNumId w:val="6"/>
  </w:num>
  <w:num w:numId="23">
    <w:abstractNumId w:val="3"/>
  </w:num>
  <w:num w:numId="24">
    <w:abstractNumId w:val="14"/>
  </w:num>
  <w:num w:numId="25">
    <w:abstractNumId w:val="26"/>
  </w:num>
  <w:num w:numId="2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D6"/>
    <w:rsid w:val="00004619"/>
    <w:rsid w:val="00006846"/>
    <w:rsid w:val="00011FC4"/>
    <w:rsid w:val="00026533"/>
    <w:rsid w:val="00046866"/>
    <w:rsid w:val="000645A7"/>
    <w:rsid w:val="000908AB"/>
    <w:rsid w:val="000A1384"/>
    <w:rsid w:val="000F441B"/>
    <w:rsid w:val="00115C3E"/>
    <w:rsid w:val="00125F67"/>
    <w:rsid w:val="00144B75"/>
    <w:rsid w:val="00153BB6"/>
    <w:rsid w:val="00157873"/>
    <w:rsid w:val="00160AEB"/>
    <w:rsid w:val="00171583"/>
    <w:rsid w:val="001819F1"/>
    <w:rsid w:val="00186AD4"/>
    <w:rsid w:val="001919A2"/>
    <w:rsid w:val="001A4AF9"/>
    <w:rsid w:val="001A600B"/>
    <w:rsid w:val="001A6BA5"/>
    <w:rsid w:val="001B2704"/>
    <w:rsid w:val="001B6298"/>
    <w:rsid w:val="001C29D8"/>
    <w:rsid w:val="001C78BD"/>
    <w:rsid w:val="001D4881"/>
    <w:rsid w:val="001D676F"/>
    <w:rsid w:val="001D7041"/>
    <w:rsid w:val="001E6C97"/>
    <w:rsid w:val="002131A9"/>
    <w:rsid w:val="002311D3"/>
    <w:rsid w:val="0023439B"/>
    <w:rsid w:val="00236004"/>
    <w:rsid w:val="00243FCB"/>
    <w:rsid w:val="00266FD1"/>
    <w:rsid w:val="00272859"/>
    <w:rsid w:val="00280512"/>
    <w:rsid w:val="00290C22"/>
    <w:rsid w:val="00297809"/>
    <w:rsid w:val="002B26FD"/>
    <w:rsid w:val="002B4227"/>
    <w:rsid w:val="002B4E2E"/>
    <w:rsid w:val="002D52FF"/>
    <w:rsid w:val="002D63D2"/>
    <w:rsid w:val="002D79E6"/>
    <w:rsid w:val="002E218B"/>
    <w:rsid w:val="002E5E6C"/>
    <w:rsid w:val="002F19BB"/>
    <w:rsid w:val="002F3143"/>
    <w:rsid w:val="00300069"/>
    <w:rsid w:val="0030312A"/>
    <w:rsid w:val="00322ADB"/>
    <w:rsid w:val="003362CF"/>
    <w:rsid w:val="0034158C"/>
    <w:rsid w:val="00342DDC"/>
    <w:rsid w:val="00344245"/>
    <w:rsid w:val="00351228"/>
    <w:rsid w:val="00354311"/>
    <w:rsid w:val="003565A6"/>
    <w:rsid w:val="00356ED7"/>
    <w:rsid w:val="00370B90"/>
    <w:rsid w:val="00372482"/>
    <w:rsid w:val="0037252E"/>
    <w:rsid w:val="00397E8E"/>
    <w:rsid w:val="003B0F5B"/>
    <w:rsid w:val="003C2760"/>
    <w:rsid w:val="003C37CE"/>
    <w:rsid w:val="003C5D14"/>
    <w:rsid w:val="003D7AD2"/>
    <w:rsid w:val="003E62B0"/>
    <w:rsid w:val="003F1F16"/>
    <w:rsid w:val="003F3F17"/>
    <w:rsid w:val="003F4801"/>
    <w:rsid w:val="0040160A"/>
    <w:rsid w:val="00403F22"/>
    <w:rsid w:val="00405418"/>
    <w:rsid w:val="0040633F"/>
    <w:rsid w:val="00406AF9"/>
    <w:rsid w:val="00406BD1"/>
    <w:rsid w:val="00407743"/>
    <w:rsid w:val="00417C28"/>
    <w:rsid w:val="0042148C"/>
    <w:rsid w:val="00427005"/>
    <w:rsid w:val="00430F2F"/>
    <w:rsid w:val="00435F25"/>
    <w:rsid w:val="004376AA"/>
    <w:rsid w:val="004474B1"/>
    <w:rsid w:val="004510D2"/>
    <w:rsid w:val="00452E7B"/>
    <w:rsid w:val="00454617"/>
    <w:rsid w:val="00456C69"/>
    <w:rsid w:val="00470847"/>
    <w:rsid w:val="00472099"/>
    <w:rsid w:val="0047407E"/>
    <w:rsid w:val="004757B4"/>
    <w:rsid w:val="004760AE"/>
    <w:rsid w:val="00477FE6"/>
    <w:rsid w:val="0048747A"/>
    <w:rsid w:val="004932DF"/>
    <w:rsid w:val="004A080C"/>
    <w:rsid w:val="004B0822"/>
    <w:rsid w:val="004B21CF"/>
    <w:rsid w:val="004B4E18"/>
    <w:rsid w:val="004B775C"/>
    <w:rsid w:val="004C0D16"/>
    <w:rsid w:val="004C1A7E"/>
    <w:rsid w:val="004F044B"/>
    <w:rsid w:val="004F6114"/>
    <w:rsid w:val="004F7058"/>
    <w:rsid w:val="005064C8"/>
    <w:rsid w:val="00521DDD"/>
    <w:rsid w:val="00532F67"/>
    <w:rsid w:val="005374F8"/>
    <w:rsid w:val="00541AB2"/>
    <w:rsid w:val="0054338B"/>
    <w:rsid w:val="00550B2F"/>
    <w:rsid w:val="00563000"/>
    <w:rsid w:val="005720F8"/>
    <w:rsid w:val="00574729"/>
    <w:rsid w:val="0058463E"/>
    <w:rsid w:val="005906F4"/>
    <w:rsid w:val="005920D6"/>
    <w:rsid w:val="00594C4A"/>
    <w:rsid w:val="005B2C09"/>
    <w:rsid w:val="005B5E36"/>
    <w:rsid w:val="005C2172"/>
    <w:rsid w:val="005C2C62"/>
    <w:rsid w:val="005D1BD6"/>
    <w:rsid w:val="005D6D73"/>
    <w:rsid w:val="005E4DCE"/>
    <w:rsid w:val="005E6A66"/>
    <w:rsid w:val="00606DDE"/>
    <w:rsid w:val="00611B32"/>
    <w:rsid w:val="00615971"/>
    <w:rsid w:val="006160E6"/>
    <w:rsid w:val="00636600"/>
    <w:rsid w:val="00644E9B"/>
    <w:rsid w:val="00650253"/>
    <w:rsid w:val="00681C39"/>
    <w:rsid w:val="00686101"/>
    <w:rsid w:val="006900F5"/>
    <w:rsid w:val="0069022D"/>
    <w:rsid w:val="006965E6"/>
    <w:rsid w:val="006B1D09"/>
    <w:rsid w:val="006B6A23"/>
    <w:rsid w:val="006C1651"/>
    <w:rsid w:val="006C45FB"/>
    <w:rsid w:val="006D0B13"/>
    <w:rsid w:val="006D3B13"/>
    <w:rsid w:val="006D4979"/>
    <w:rsid w:val="006E1D0E"/>
    <w:rsid w:val="00706F45"/>
    <w:rsid w:val="00715AEE"/>
    <w:rsid w:val="0072202E"/>
    <w:rsid w:val="00731AF7"/>
    <w:rsid w:val="007338ED"/>
    <w:rsid w:val="00737BB0"/>
    <w:rsid w:val="007465BF"/>
    <w:rsid w:val="0075102C"/>
    <w:rsid w:val="007516C5"/>
    <w:rsid w:val="00781473"/>
    <w:rsid w:val="0079334B"/>
    <w:rsid w:val="00794890"/>
    <w:rsid w:val="00795063"/>
    <w:rsid w:val="007A1DC8"/>
    <w:rsid w:val="007B1A84"/>
    <w:rsid w:val="007B677C"/>
    <w:rsid w:val="007B7090"/>
    <w:rsid w:val="007C1A8F"/>
    <w:rsid w:val="007C6BC8"/>
    <w:rsid w:val="007D1C88"/>
    <w:rsid w:val="007E5F9D"/>
    <w:rsid w:val="007F14A9"/>
    <w:rsid w:val="00800963"/>
    <w:rsid w:val="00806682"/>
    <w:rsid w:val="00813C8A"/>
    <w:rsid w:val="00813DFF"/>
    <w:rsid w:val="00823370"/>
    <w:rsid w:val="00831A03"/>
    <w:rsid w:val="00846C57"/>
    <w:rsid w:val="00860C80"/>
    <w:rsid w:val="0087209E"/>
    <w:rsid w:val="00883991"/>
    <w:rsid w:val="008B0CE5"/>
    <w:rsid w:val="008C02AD"/>
    <w:rsid w:val="008C7F81"/>
    <w:rsid w:val="008E3EB8"/>
    <w:rsid w:val="008F7AA6"/>
    <w:rsid w:val="00901C55"/>
    <w:rsid w:val="009079F2"/>
    <w:rsid w:val="00907B27"/>
    <w:rsid w:val="0091071F"/>
    <w:rsid w:val="00920791"/>
    <w:rsid w:val="00922D65"/>
    <w:rsid w:val="00927900"/>
    <w:rsid w:val="009309F7"/>
    <w:rsid w:val="009328FF"/>
    <w:rsid w:val="009370AC"/>
    <w:rsid w:val="00941A47"/>
    <w:rsid w:val="0094383A"/>
    <w:rsid w:val="0094592A"/>
    <w:rsid w:val="009477A1"/>
    <w:rsid w:val="009528A9"/>
    <w:rsid w:val="0096138F"/>
    <w:rsid w:val="00971262"/>
    <w:rsid w:val="0097217C"/>
    <w:rsid w:val="00993FC9"/>
    <w:rsid w:val="009A5E47"/>
    <w:rsid w:val="009B08A9"/>
    <w:rsid w:val="009C31AB"/>
    <w:rsid w:val="009C5FD6"/>
    <w:rsid w:val="009E098C"/>
    <w:rsid w:val="009E7103"/>
    <w:rsid w:val="009F2986"/>
    <w:rsid w:val="00A075C5"/>
    <w:rsid w:val="00A112C9"/>
    <w:rsid w:val="00A277ED"/>
    <w:rsid w:val="00A3257F"/>
    <w:rsid w:val="00A336C9"/>
    <w:rsid w:val="00A719A9"/>
    <w:rsid w:val="00A74D6A"/>
    <w:rsid w:val="00A95BAD"/>
    <w:rsid w:val="00AC0225"/>
    <w:rsid w:val="00AC69B5"/>
    <w:rsid w:val="00AC77AE"/>
    <w:rsid w:val="00AD45DF"/>
    <w:rsid w:val="00AD570B"/>
    <w:rsid w:val="00AF17AA"/>
    <w:rsid w:val="00AF447D"/>
    <w:rsid w:val="00B03273"/>
    <w:rsid w:val="00B16C46"/>
    <w:rsid w:val="00B53BF7"/>
    <w:rsid w:val="00B62EBA"/>
    <w:rsid w:val="00B75E3B"/>
    <w:rsid w:val="00B81A6F"/>
    <w:rsid w:val="00BA2178"/>
    <w:rsid w:val="00BB0C50"/>
    <w:rsid w:val="00BB6D89"/>
    <w:rsid w:val="00BC7F60"/>
    <w:rsid w:val="00BD6EB5"/>
    <w:rsid w:val="00BE4E8D"/>
    <w:rsid w:val="00BF071A"/>
    <w:rsid w:val="00BF4865"/>
    <w:rsid w:val="00C1189A"/>
    <w:rsid w:val="00C21ADD"/>
    <w:rsid w:val="00C21B89"/>
    <w:rsid w:val="00C236ED"/>
    <w:rsid w:val="00C24EA8"/>
    <w:rsid w:val="00C45064"/>
    <w:rsid w:val="00C56AE8"/>
    <w:rsid w:val="00C666D4"/>
    <w:rsid w:val="00C92CB9"/>
    <w:rsid w:val="00C93EA1"/>
    <w:rsid w:val="00CA6689"/>
    <w:rsid w:val="00CB290C"/>
    <w:rsid w:val="00CB2FB1"/>
    <w:rsid w:val="00CC000A"/>
    <w:rsid w:val="00CC03BE"/>
    <w:rsid w:val="00CC4CF1"/>
    <w:rsid w:val="00CD6839"/>
    <w:rsid w:val="00CF0234"/>
    <w:rsid w:val="00D0165F"/>
    <w:rsid w:val="00D045B1"/>
    <w:rsid w:val="00D17600"/>
    <w:rsid w:val="00D42313"/>
    <w:rsid w:val="00D44B15"/>
    <w:rsid w:val="00D4535E"/>
    <w:rsid w:val="00D4736B"/>
    <w:rsid w:val="00D66D17"/>
    <w:rsid w:val="00D70FF5"/>
    <w:rsid w:val="00D74F1C"/>
    <w:rsid w:val="00D75200"/>
    <w:rsid w:val="00D93F67"/>
    <w:rsid w:val="00D9696E"/>
    <w:rsid w:val="00DA7F8D"/>
    <w:rsid w:val="00DB1B11"/>
    <w:rsid w:val="00DB54CF"/>
    <w:rsid w:val="00DB71A7"/>
    <w:rsid w:val="00DC44E3"/>
    <w:rsid w:val="00DC77C2"/>
    <w:rsid w:val="00DD2422"/>
    <w:rsid w:val="00DE117C"/>
    <w:rsid w:val="00E02E4A"/>
    <w:rsid w:val="00E25748"/>
    <w:rsid w:val="00E41A28"/>
    <w:rsid w:val="00E46E77"/>
    <w:rsid w:val="00E6183C"/>
    <w:rsid w:val="00E66566"/>
    <w:rsid w:val="00E92F72"/>
    <w:rsid w:val="00E932F2"/>
    <w:rsid w:val="00E95C3B"/>
    <w:rsid w:val="00E961AE"/>
    <w:rsid w:val="00EA0B29"/>
    <w:rsid w:val="00EA2B9E"/>
    <w:rsid w:val="00EA40F0"/>
    <w:rsid w:val="00EB03BF"/>
    <w:rsid w:val="00EB0C65"/>
    <w:rsid w:val="00EC7E70"/>
    <w:rsid w:val="00ED18C2"/>
    <w:rsid w:val="00ED2100"/>
    <w:rsid w:val="00ED55D0"/>
    <w:rsid w:val="00EE1F43"/>
    <w:rsid w:val="00EE3071"/>
    <w:rsid w:val="00EF1AEA"/>
    <w:rsid w:val="00EF4263"/>
    <w:rsid w:val="00F04CCC"/>
    <w:rsid w:val="00F04E36"/>
    <w:rsid w:val="00F16E20"/>
    <w:rsid w:val="00F2395D"/>
    <w:rsid w:val="00F4186E"/>
    <w:rsid w:val="00F56683"/>
    <w:rsid w:val="00F667B1"/>
    <w:rsid w:val="00F92AE3"/>
    <w:rsid w:val="00FA1B64"/>
    <w:rsid w:val="00FB669A"/>
    <w:rsid w:val="00FC7CA7"/>
    <w:rsid w:val="00FE0771"/>
    <w:rsid w:val="00FF3495"/>
    <w:rsid w:val="00FF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621C7"/>
  <w15:docId w15:val="{C78E0661-07F5-4629-B27D-014A4409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FD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FD6"/>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9C5FD6"/>
  </w:style>
  <w:style w:type="paragraph" w:styleId="Footer">
    <w:name w:val="footer"/>
    <w:basedOn w:val="Normal"/>
    <w:link w:val="FooterChar"/>
    <w:unhideWhenUsed/>
    <w:rsid w:val="009C5FD6"/>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rsid w:val="009C5FD6"/>
  </w:style>
  <w:style w:type="paragraph" w:styleId="HTMLPreformatted">
    <w:name w:val="HTML Preformatted"/>
    <w:basedOn w:val="Normal"/>
    <w:link w:val="HTMLPreformattedChar"/>
    <w:rsid w:val="009C5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C5FD6"/>
    <w:rPr>
      <w:rFonts w:ascii="Courier New" w:eastAsia="Courier New" w:hAnsi="Courier New" w:cs="Courier New"/>
      <w:sz w:val="20"/>
      <w:szCs w:val="20"/>
    </w:rPr>
  </w:style>
  <w:style w:type="character" w:styleId="Hyperlink">
    <w:name w:val="Hyperlink"/>
    <w:basedOn w:val="DefaultParagraphFont"/>
    <w:rsid w:val="009C5FD6"/>
    <w:rPr>
      <w:color w:val="0000FF"/>
      <w:u w:val="single"/>
    </w:rPr>
  </w:style>
  <w:style w:type="character" w:customStyle="1" w:styleId="ptext-3">
    <w:name w:val="ptext-3"/>
    <w:basedOn w:val="DefaultParagraphFont"/>
    <w:rsid w:val="009C5FD6"/>
    <w:rPr>
      <w:b w:val="0"/>
      <w:bCs w:val="0"/>
      <w:sz w:val="20"/>
      <w:szCs w:val="20"/>
    </w:rPr>
  </w:style>
  <w:style w:type="paragraph" w:styleId="BodyText">
    <w:name w:val="Body Text"/>
    <w:basedOn w:val="Normal"/>
    <w:link w:val="BodyTextChar"/>
    <w:rsid w:val="00907B27"/>
    <w:pPr>
      <w:jc w:val="center"/>
    </w:pPr>
    <w:rPr>
      <w:sz w:val="28"/>
    </w:rPr>
  </w:style>
  <w:style w:type="character" w:customStyle="1" w:styleId="BodyTextChar">
    <w:name w:val="Body Text Char"/>
    <w:basedOn w:val="DefaultParagraphFont"/>
    <w:link w:val="BodyText"/>
    <w:rsid w:val="00907B27"/>
    <w:rPr>
      <w:rFonts w:ascii="Times New Roman" w:eastAsia="Times New Roman" w:hAnsi="Times New Roman" w:cs="Times New Roman"/>
      <w:sz w:val="28"/>
      <w:szCs w:val="24"/>
    </w:rPr>
  </w:style>
  <w:style w:type="character" w:styleId="FollowedHyperlink">
    <w:name w:val="FollowedHyperlink"/>
    <w:basedOn w:val="DefaultParagraphFont"/>
    <w:uiPriority w:val="99"/>
    <w:semiHidden/>
    <w:unhideWhenUsed/>
    <w:rsid w:val="004B0822"/>
    <w:rPr>
      <w:color w:val="800080"/>
      <w:u w:val="single"/>
    </w:rPr>
  </w:style>
  <w:style w:type="paragraph" w:styleId="BalloonText">
    <w:name w:val="Balloon Text"/>
    <w:basedOn w:val="Normal"/>
    <w:link w:val="BalloonTextChar"/>
    <w:uiPriority w:val="99"/>
    <w:semiHidden/>
    <w:unhideWhenUsed/>
    <w:rsid w:val="00F92AE3"/>
    <w:rPr>
      <w:rFonts w:ascii="Tahoma" w:hAnsi="Tahoma" w:cs="Tahoma"/>
      <w:sz w:val="16"/>
      <w:szCs w:val="16"/>
    </w:rPr>
  </w:style>
  <w:style w:type="character" w:customStyle="1" w:styleId="BalloonTextChar">
    <w:name w:val="Balloon Text Char"/>
    <w:basedOn w:val="DefaultParagraphFont"/>
    <w:link w:val="BalloonText"/>
    <w:uiPriority w:val="99"/>
    <w:semiHidden/>
    <w:rsid w:val="00F92AE3"/>
    <w:rPr>
      <w:rFonts w:ascii="Tahoma" w:eastAsia="Times New Roman" w:hAnsi="Tahoma" w:cs="Tahoma"/>
      <w:sz w:val="16"/>
      <w:szCs w:val="16"/>
    </w:rPr>
  </w:style>
  <w:style w:type="paragraph" w:styleId="ListParagraph">
    <w:name w:val="List Paragraph"/>
    <w:basedOn w:val="Normal"/>
    <w:uiPriority w:val="34"/>
    <w:qFormat/>
    <w:rsid w:val="00927900"/>
    <w:pPr>
      <w:ind w:left="720"/>
    </w:pPr>
  </w:style>
  <w:style w:type="paragraph" w:styleId="Revision">
    <w:name w:val="Revision"/>
    <w:hidden/>
    <w:uiPriority w:val="99"/>
    <w:semiHidden/>
    <w:rsid w:val="00472099"/>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8463E"/>
    <w:rPr>
      <w:sz w:val="16"/>
      <w:szCs w:val="16"/>
    </w:rPr>
  </w:style>
  <w:style w:type="paragraph" w:styleId="CommentText">
    <w:name w:val="annotation text"/>
    <w:basedOn w:val="Normal"/>
    <w:link w:val="CommentTextChar"/>
    <w:uiPriority w:val="99"/>
    <w:semiHidden/>
    <w:unhideWhenUsed/>
    <w:rsid w:val="0058463E"/>
    <w:rPr>
      <w:sz w:val="20"/>
      <w:szCs w:val="20"/>
    </w:rPr>
  </w:style>
  <w:style w:type="character" w:customStyle="1" w:styleId="CommentTextChar">
    <w:name w:val="Comment Text Char"/>
    <w:basedOn w:val="DefaultParagraphFont"/>
    <w:link w:val="CommentText"/>
    <w:uiPriority w:val="99"/>
    <w:semiHidden/>
    <w:rsid w:val="0058463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8463E"/>
    <w:rPr>
      <w:b/>
      <w:bCs/>
    </w:rPr>
  </w:style>
  <w:style w:type="character" w:customStyle="1" w:styleId="CommentSubjectChar">
    <w:name w:val="Comment Subject Char"/>
    <w:basedOn w:val="CommentTextChar"/>
    <w:link w:val="CommentSubject"/>
    <w:uiPriority w:val="99"/>
    <w:semiHidden/>
    <w:rsid w:val="0058463E"/>
    <w:rPr>
      <w:rFonts w:ascii="Times New Roman" w:eastAsia="Times New Roman" w:hAnsi="Times New Roman"/>
      <w:b/>
      <w:bCs/>
    </w:rPr>
  </w:style>
  <w:style w:type="character" w:styleId="Strong">
    <w:name w:val="Strong"/>
    <w:basedOn w:val="DefaultParagraphFont"/>
    <w:uiPriority w:val="22"/>
    <w:qFormat/>
    <w:rsid w:val="00971262"/>
    <w:rPr>
      <w:b/>
      <w:bCs/>
    </w:rPr>
  </w:style>
  <w:style w:type="character" w:styleId="Emphasis">
    <w:name w:val="Emphasis"/>
    <w:basedOn w:val="DefaultParagraphFont"/>
    <w:uiPriority w:val="20"/>
    <w:qFormat/>
    <w:rsid w:val="00971262"/>
    <w:rPr>
      <w:i/>
      <w:iCs/>
    </w:rPr>
  </w:style>
  <w:style w:type="numbering" w:customStyle="1" w:styleId="Style1">
    <w:name w:val="Style1"/>
    <w:uiPriority w:val="99"/>
    <w:rsid w:val="00403F22"/>
    <w:pPr>
      <w:numPr>
        <w:numId w:val="22"/>
      </w:numPr>
    </w:pPr>
  </w:style>
  <w:style w:type="paragraph" w:styleId="NormalWeb">
    <w:name w:val="Normal (Web)"/>
    <w:basedOn w:val="Normal"/>
    <w:uiPriority w:val="99"/>
    <w:unhideWhenUsed/>
    <w:rsid w:val="00011F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82808">
      <w:bodyDiv w:val="1"/>
      <w:marLeft w:val="0"/>
      <w:marRight w:val="0"/>
      <w:marTop w:val="0"/>
      <w:marBottom w:val="0"/>
      <w:divBdr>
        <w:top w:val="none" w:sz="0" w:space="0" w:color="auto"/>
        <w:left w:val="none" w:sz="0" w:space="0" w:color="auto"/>
        <w:bottom w:val="none" w:sz="0" w:space="0" w:color="auto"/>
        <w:right w:val="none" w:sz="0" w:space="0" w:color="auto"/>
      </w:divBdr>
    </w:div>
    <w:div w:id="738283054">
      <w:bodyDiv w:val="1"/>
      <w:marLeft w:val="0"/>
      <w:marRight w:val="0"/>
      <w:marTop w:val="0"/>
      <w:marBottom w:val="0"/>
      <w:divBdr>
        <w:top w:val="none" w:sz="0" w:space="0" w:color="auto"/>
        <w:left w:val="none" w:sz="0" w:space="0" w:color="auto"/>
        <w:bottom w:val="none" w:sz="0" w:space="0" w:color="auto"/>
        <w:right w:val="none" w:sz="0" w:space="0" w:color="auto"/>
      </w:divBdr>
    </w:div>
    <w:div w:id="1163088452">
      <w:bodyDiv w:val="1"/>
      <w:marLeft w:val="0"/>
      <w:marRight w:val="0"/>
      <w:marTop w:val="0"/>
      <w:marBottom w:val="0"/>
      <w:divBdr>
        <w:top w:val="none" w:sz="0" w:space="0" w:color="auto"/>
        <w:left w:val="none" w:sz="0" w:space="0" w:color="auto"/>
        <w:bottom w:val="none" w:sz="0" w:space="0" w:color="auto"/>
        <w:right w:val="none" w:sz="0" w:space="0" w:color="auto"/>
      </w:divBdr>
    </w:div>
    <w:div w:id="1237058496">
      <w:bodyDiv w:val="1"/>
      <w:marLeft w:val="0"/>
      <w:marRight w:val="0"/>
      <w:marTop w:val="0"/>
      <w:marBottom w:val="0"/>
      <w:divBdr>
        <w:top w:val="none" w:sz="0" w:space="0" w:color="auto"/>
        <w:left w:val="none" w:sz="0" w:space="0" w:color="auto"/>
        <w:bottom w:val="none" w:sz="0" w:space="0" w:color="auto"/>
        <w:right w:val="none" w:sz="0" w:space="0" w:color="auto"/>
      </w:divBdr>
    </w:div>
    <w:div w:id="1518275988">
      <w:bodyDiv w:val="1"/>
      <w:marLeft w:val="0"/>
      <w:marRight w:val="0"/>
      <w:marTop w:val="0"/>
      <w:marBottom w:val="0"/>
      <w:divBdr>
        <w:top w:val="none" w:sz="0" w:space="0" w:color="auto"/>
        <w:left w:val="none" w:sz="0" w:space="0" w:color="auto"/>
        <w:bottom w:val="none" w:sz="0" w:space="0" w:color="auto"/>
        <w:right w:val="none" w:sz="0" w:space="0" w:color="auto"/>
      </w:divBdr>
    </w:div>
    <w:div w:id="156070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ha@southtucson.org"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ud.gov/offices/adm/hudclips/forms/files/50077sl.doc" TargetMode="External"/><Relationship Id="rId14" Type="http://schemas.openxmlformats.org/officeDocument/2006/relationships/theme" Target="theme/theme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594DD-B29C-40AD-B2F0-AFD5883A5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2632</Words>
  <Characters>15005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17602</CharactersWithSpaces>
  <SharedDoc>false</SharedDoc>
  <HLinks>
    <vt:vector size="96" baseType="variant">
      <vt:variant>
        <vt:i4>2556013</vt:i4>
      </vt:variant>
      <vt:variant>
        <vt:i4>67</vt:i4>
      </vt:variant>
      <vt:variant>
        <vt:i4>0</vt:i4>
      </vt:variant>
      <vt:variant>
        <vt:i4>5</vt:i4>
      </vt:variant>
      <vt:variant>
        <vt:lpwstr>http://www.hud.gov/offices/adm/hudclips/forms/files/50077sl.doc</vt:lpwstr>
      </vt:variant>
      <vt:variant>
        <vt:lpwstr/>
      </vt:variant>
      <vt:variant>
        <vt:i4>4849732</vt:i4>
      </vt:variant>
      <vt:variant>
        <vt:i4>64</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61</vt:i4>
      </vt:variant>
      <vt:variant>
        <vt:i4>0</vt:i4>
      </vt:variant>
      <vt:variant>
        <vt:i4>5</vt:i4>
      </vt:variant>
      <vt:variant>
        <vt:lpwstr>http://www.hud.gov/offices/adm/hudclips/forms/files/50077.pdf</vt:lpwstr>
      </vt:variant>
      <vt:variant>
        <vt:lpwstr/>
      </vt:variant>
      <vt:variant>
        <vt:i4>5046292</vt:i4>
      </vt:variant>
      <vt:variant>
        <vt:i4>58</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7995503</vt:i4>
      </vt:variant>
      <vt:variant>
        <vt:i4>55</vt:i4>
      </vt:variant>
      <vt:variant>
        <vt:i4>0</vt:i4>
      </vt:variant>
      <vt:variant>
        <vt:i4>5</vt:i4>
      </vt:variant>
      <vt:variant>
        <vt:lpwstr>http://www.hud.gov/offices/pih/programs/ph/capfun/index.cfm</vt:lpwstr>
      </vt:variant>
      <vt:variant>
        <vt:lpwstr/>
      </vt:variant>
      <vt:variant>
        <vt:i4>2556013</vt:i4>
      </vt:variant>
      <vt:variant>
        <vt:i4>52</vt:i4>
      </vt:variant>
      <vt:variant>
        <vt:i4>0</vt:i4>
      </vt:variant>
      <vt:variant>
        <vt:i4>5</vt:i4>
      </vt:variant>
      <vt:variant>
        <vt:lpwstr>http://www.hud.gov/offices/adm/hudclips/forms/files/50077sl.doc</vt:lpwstr>
      </vt:variant>
      <vt:variant>
        <vt:lpwstr/>
      </vt:variant>
      <vt:variant>
        <vt:i4>4849732</vt:i4>
      </vt:variant>
      <vt:variant>
        <vt:i4>49</vt:i4>
      </vt:variant>
      <vt:variant>
        <vt:i4>0</vt:i4>
      </vt:variant>
      <vt:variant>
        <vt:i4>5</vt:i4>
      </vt:variant>
      <vt:variant>
        <vt:lpwstr>http://ecfr.gpoaccess.gov/cgi/t/text/text-idx?c=ecfr&amp;sid=929855241bbc0873ac4be47579a4d2bf&amp;rgn=div5&amp;view=text&amp;node=24:4.0.3.1.3&amp;idno=24</vt:lpwstr>
      </vt:variant>
      <vt:variant>
        <vt:lpwstr>24:4.0.3.1.3.2.5.10</vt:lpwstr>
      </vt:variant>
      <vt:variant>
        <vt:i4>6225941</vt:i4>
      </vt:variant>
      <vt:variant>
        <vt:i4>46</vt:i4>
      </vt:variant>
      <vt:variant>
        <vt:i4>0</vt:i4>
      </vt:variant>
      <vt:variant>
        <vt:i4>5</vt:i4>
      </vt:variant>
      <vt:variant>
        <vt:lpwstr>http://www.hud.gov/offices/adm/hudclips/forms/files/50077.pdf</vt:lpwstr>
      </vt:variant>
      <vt:variant>
        <vt:lpwstr/>
      </vt:variant>
      <vt:variant>
        <vt:i4>5046292</vt:i4>
      </vt:variant>
      <vt:variant>
        <vt:i4>43</vt:i4>
      </vt:variant>
      <vt:variant>
        <vt:i4>0</vt:i4>
      </vt:variant>
      <vt:variant>
        <vt:i4>5</vt:i4>
      </vt:variant>
      <vt:variant>
        <vt:lpwstr>http://ecfr.gpoaccess.gov/cgi/t/text/text-idx?c=ecfr&amp;sid=13734845220744370804c20da2294a03&amp;rgn=div5&amp;view=text&amp;node=24:4.0.3.1.3&amp;idno=24</vt:lpwstr>
      </vt:variant>
      <vt:variant>
        <vt:lpwstr>24:4.0.3.1.3.2.5.5</vt:lpwstr>
      </vt:variant>
      <vt:variant>
        <vt:i4>5963860</vt:i4>
      </vt:variant>
      <vt:variant>
        <vt:i4>36</vt:i4>
      </vt:variant>
      <vt:variant>
        <vt:i4>0</vt:i4>
      </vt:variant>
      <vt:variant>
        <vt:i4>5</vt:i4>
      </vt:variant>
      <vt:variant>
        <vt:lpwstr>C:\Documents and Settings\h18613\Local Settings\Temporary Internet Files\Content.Outlook\Application Data\Microsoft\24 CFR 903.17(a).htm</vt:lpwstr>
      </vt:variant>
      <vt:variant>
        <vt:lpwstr/>
      </vt:variant>
      <vt:variant>
        <vt:i4>4980756</vt:i4>
      </vt:variant>
      <vt:variant>
        <vt:i4>33</vt:i4>
      </vt:variant>
      <vt:variant>
        <vt:i4>0</vt:i4>
      </vt:variant>
      <vt:variant>
        <vt:i4>5</vt:i4>
      </vt:variant>
      <vt:variant>
        <vt:lpwstr>http://ecfr.gpoaccess.gov/cgi/t/text/text-idx?c=ecfr&amp;sid=13734845220744370804c20da2294a03&amp;rgn=div5&amp;view=text&amp;node=24:4.0.3.1.3&amp;idno=24</vt:lpwstr>
      </vt:variant>
      <vt:variant>
        <vt:lpwstr>24:4.0.3.1.3.2.5.4</vt:lpwstr>
      </vt:variant>
      <vt:variant>
        <vt:i4>4980756</vt:i4>
      </vt:variant>
      <vt:variant>
        <vt:i4>30</vt:i4>
      </vt:variant>
      <vt:variant>
        <vt:i4>0</vt:i4>
      </vt:variant>
      <vt:variant>
        <vt:i4>5</vt:i4>
      </vt:variant>
      <vt:variant>
        <vt:lpwstr>http://ecfr.gpoaccess.gov/cgi/t/text/text-idx?c=ecfr&amp;sid=13734845220744370804c20da2294a03&amp;rgn=div5&amp;view=text&amp;node=24:4.0.3.1.3&amp;idno=24</vt:lpwstr>
      </vt:variant>
      <vt:variant>
        <vt:lpwstr>24:4.0.3.1.3.2.5.4</vt:lpwstr>
      </vt:variant>
      <vt:variant>
        <vt:i4>4980756</vt:i4>
      </vt:variant>
      <vt:variant>
        <vt:i4>27</vt:i4>
      </vt:variant>
      <vt:variant>
        <vt:i4>0</vt:i4>
      </vt:variant>
      <vt:variant>
        <vt:i4>5</vt:i4>
      </vt:variant>
      <vt:variant>
        <vt:lpwstr>http://ecfr.gpoaccess.gov/cgi/t/text/text-idx?c=ecfr&amp;sid=13734845220744370804c20da2294a03&amp;rgn=div5&amp;view=text&amp;node=24:4.0.3.1.3&amp;idno=24</vt:lpwstr>
      </vt:variant>
      <vt:variant>
        <vt:lpwstr>24:4.0.3.1.3.2.5.4</vt:lpwstr>
      </vt:variant>
      <vt:variant>
        <vt:i4>4980756</vt:i4>
      </vt:variant>
      <vt:variant>
        <vt:i4>24</vt:i4>
      </vt:variant>
      <vt:variant>
        <vt:i4>0</vt:i4>
      </vt:variant>
      <vt:variant>
        <vt:i4>5</vt:i4>
      </vt:variant>
      <vt:variant>
        <vt:lpwstr>http://ecfr.gpoaccess.gov/cgi/t/text/text-idx?c=ecfr&amp;sid=13734845220744370804c20da2294a03&amp;rgn=div5&amp;view=text&amp;node=24:4.0.3.1.3&amp;idno=24</vt:lpwstr>
      </vt:variant>
      <vt:variant>
        <vt:lpwstr>24:4.0.3.1.3.2.5.4</vt:lpwstr>
      </vt:variant>
      <vt:variant>
        <vt:i4>1114134</vt:i4>
      </vt:variant>
      <vt:variant>
        <vt:i4>21</vt:i4>
      </vt:variant>
      <vt:variant>
        <vt:i4>0</vt:i4>
      </vt:variant>
      <vt:variant>
        <vt:i4>5</vt:i4>
      </vt:variant>
      <vt:variant>
        <vt:lpwstr>http://ecfr.gpoaccess.gov/cgi/t/text/text-idx?c=ecfr&amp;sid=cc31cf1c3a2b84ba4ead75d35d258f67&amp;rgn=div5&amp;view=text&amp;node=24:4.0.3.1.10&amp;idno=24</vt:lpwstr>
      </vt:variant>
      <vt:variant>
        <vt:lpwstr>24:4.0.3.1.10.2.5.7</vt:lpwstr>
      </vt:variant>
      <vt:variant>
        <vt:i4>4784148</vt:i4>
      </vt:variant>
      <vt:variant>
        <vt:i4>16</vt:i4>
      </vt:variant>
      <vt:variant>
        <vt:i4>0</vt:i4>
      </vt:variant>
      <vt:variant>
        <vt:i4>5</vt:i4>
      </vt:variant>
      <vt:variant>
        <vt:lpwstr>http://ecfr.gpoaccess.gov/cgi/t/text/text-idx?c=ecfr&amp;sid=13734845220744370804c20da2294a03&amp;rgn=div5&amp;view=text&amp;node=24:4.0.3.1.3&amp;idno=24</vt:lpwstr>
      </vt:variant>
      <vt:variant>
        <vt:lpwstr>24:4.0.3.1.3.2.5.14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Microsoft account</cp:lastModifiedBy>
  <cp:revision>4</cp:revision>
  <cp:lastPrinted>2022-02-04T01:06:00Z</cp:lastPrinted>
  <dcterms:created xsi:type="dcterms:W3CDTF">2022-02-04T01:00:00Z</dcterms:created>
  <dcterms:modified xsi:type="dcterms:W3CDTF">2022-02-04T01:07:00Z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1424997680</vt:i4>
  </property>
  <property fmtid="{D5CDD505-2E9C-101B-9397-08002B2CF9AE}" pid="3" name="_NewReviewCycle">
    <vt:lpwstr/>
  </property>
  <property fmtid="{D5CDD505-2E9C-101B-9397-08002B2CF9AE}" pid="4" name="_EmailSubject">
    <vt:lpwstr>Clean PHA Plan Forms - Correction of Typos</vt:lpwstr>
  </property>
  <property fmtid="{D5CDD505-2E9C-101B-9397-08002B2CF9AE}" pid="5" name="_AuthorEmail">
    <vt:lpwstr>Monica.C.Shepherd@hud.gov</vt:lpwstr>
  </property>
  <property fmtid="{D5CDD505-2E9C-101B-9397-08002B2CF9AE}" pid="6" name="_AuthorEmailDisplayName">
    <vt:lpwstr>Shepherd, Monica C</vt:lpwstr>
  </property>
  <property fmtid="{D5CDD505-2E9C-101B-9397-08002B2CF9AE}" pid="7" name="_PreviousAdHocReviewCycleID">
    <vt:i4>-1535452617</vt:i4>
  </property>
  <property fmtid="{D5CDD505-2E9C-101B-9397-08002B2CF9AE}" pid="8" name="_ReviewingToolsShownOnce">
    <vt:lpwstr/>
  </property>
</Properties>
</file>